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auto"/>
          <w:sz w:val="48"/>
          <w:szCs w:val="48"/>
        </w:rPr>
      </w:pPr>
      <w:r>
        <w:rPr>
          <w:rFonts w:hint="eastAsia" w:ascii="黑体" w:hAnsi="黑体" w:eastAsia="黑体"/>
          <w:b/>
          <w:color w:val="auto"/>
          <w:sz w:val="48"/>
          <w:szCs w:val="48"/>
        </w:rPr>
        <w:t>西客站地区HJZ701-A04地块九年一贯制学校建设项目桩基检测工程</w:t>
      </w:r>
    </w:p>
    <w:p>
      <w:pPr>
        <w:jc w:val="center"/>
        <w:rPr>
          <w:rFonts w:hint="eastAsia"/>
          <w:b/>
          <w:bCs/>
          <w:sz w:val="32"/>
          <w:szCs w:val="28"/>
          <w:lang w:eastAsia="zh-CN"/>
        </w:rPr>
      </w:pPr>
    </w:p>
    <w:p>
      <w:pPr>
        <w:jc w:val="center"/>
        <w:rPr>
          <w:rFonts w:hint="eastAsia"/>
          <w:b/>
          <w:bCs/>
          <w:sz w:val="44"/>
          <w:szCs w:val="40"/>
          <w:lang w:eastAsia="zh-CN"/>
        </w:rPr>
      </w:pPr>
      <w:r>
        <w:rPr>
          <w:rFonts w:hint="eastAsia"/>
          <w:b/>
          <w:bCs/>
          <w:sz w:val="44"/>
          <w:szCs w:val="40"/>
          <w:lang w:eastAsia="zh-CN"/>
        </w:rPr>
        <w:t>比选文件更正说明</w:t>
      </w:r>
    </w:p>
    <w:p>
      <w:pPr>
        <w:pStyle w:val="2"/>
        <w:rPr>
          <w:rFonts w:hint="eastAsia"/>
          <w:lang w:eastAsia="zh-CN"/>
        </w:rPr>
      </w:pPr>
    </w:p>
    <w:p>
      <w:pPr>
        <w:pStyle w:val="2"/>
        <w:ind w:left="0" w:leftChars="0" w:firstLine="560" w:firstLineChars="200"/>
        <w:rPr>
          <w:rFonts w:hint="eastAsia"/>
          <w:b w:val="0"/>
          <w:bCs w:val="0"/>
          <w:sz w:val="28"/>
          <w:szCs w:val="24"/>
          <w:lang w:eastAsia="zh-CN"/>
        </w:rPr>
      </w:pPr>
      <w:r>
        <w:rPr>
          <w:rFonts w:hint="eastAsia"/>
          <w:b w:val="0"/>
          <w:bCs w:val="0"/>
          <w:sz w:val="28"/>
          <w:szCs w:val="24"/>
          <w:lang w:eastAsia="zh-CN"/>
        </w:rPr>
        <w:t>对于西客站地区HJZ701-A04地块九年一贯制学校建设项目桩基检测工程比选文件中评标办法表格，技术评议项内的检测方案的详细内容：1.检测方案内容齐全，能满足本工程提出的所有项目，得1-</w:t>
      </w:r>
      <w:r>
        <w:rPr>
          <w:rFonts w:hint="eastAsia"/>
          <w:b w:val="0"/>
          <w:bCs w:val="0"/>
          <w:sz w:val="28"/>
          <w:szCs w:val="24"/>
          <w:lang w:val="en-US" w:eastAsia="zh-CN"/>
        </w:rPr>
        <w:t>3</w:t>
      </w:r>
      <w:r>
        <w:rPr>
          <w:rFonts w:hint="eastAsia"/>
          <w:b w:val="0"/>
          <w:bCs w:val="0"/>
          <w:sz w:val="28"/>
          <w:szCs w:val="24"/>
          <w:lang w:eastAsia="zh-CN"/>
        </w:rPr>
        <w:t>分；2.检测方案内容齐全，能满足本工程提出的所有项目有合理可行的保证通过相关验收，针对性强，对工程重点、难点把握准确，先进可行，得</w:t>
      </w:r>
      <w:r>
        <w:rPr>
          <w:rFonts w:hint="eastAsia"/>
          <w:b w:val="0"/>
          <w:bCs w:val="0"/>
          <w:sz w:val="28"/>
          <w:szCs w:val="24"/>
          <w:lang w:val="en-US" w:eastAsia="zh-CN"/>
        </w:rPr>
        <w:t>4-5</w:t>
      </w:r>
      <w:r>
        <w:rPr>
          <w:rFonts w:hint="eastAsia"/>
          <w:b w:val="0"/>
          <w:bCs w:val="0"/>
          <w:sz w:val="28"/>
          <w:szCs w:val="24"/>
          <w:lang w:eastAsia="zh-CN"/>
        </w:rPr>
        <w:t>分。</w:t>
      </w:r>
      <w:r>
        <w:rPr>
          <w:rFonts w:hint="eastAsia"/>
          <w:b/>
          <w:bCs/>
          <w:sz w:val="28"/>
          <w:szCs w:val="24"/>
          <w:lang w:eastAsia="zh-CN"/>
        </w:rPr>
        <w:t>改为：1.检测方案内容齐全，能满足本工程提出的所有项目，得</w:t>
      </w:r>
      <w:r>
        <w:rPr>
          <w:rFonts w:hint="eastAsia"/>
          <w:b/>
          <w:bCs/>
          <w:sz w:val="28"/>
          <w:szCs w:val="24"/>
          <w:lang w:val="en-US" w:eastAsia="zh-CN"/>
        </w:rPr>
        <w:t>1</w:t>
      </w:r>
      <w:r>
        <w:rPr>
          <w:rFonts w:hint="eastAsia"/>
          <w:b/>
          <w:bCs/>
          <w:sz w:val="28"/>
          <w:szCs w:val="24"/>
          <w:lang w:eastAsia="zh-CN"/>
        </w:rPr>
        <w:t>-</w:t>
      </w:r>
      <w:r>
        <w:rPr>
          <w:rFonts w:hint="eastAsia"/>
          <w:b/>
          <w:bCs/>
          <w:sz w:val="28"/>
          <w:szCs w:val="24"/>
          <w:lang w:val="en-US" w:eastAsia="zh-CN"/>
        </w:rPr>
        <w:t>5</w:t>
      </w:r>
      <w:r>
        <w:rPr>
          <w:rFonts w:hint="eastAsia"/>
          <w:b/>
          <w:bCs/>
          <w:sz w:val="28"/>
          <w:szCs w:val="24"/>
          <w:lang w:eastAsia="zh-CN"/>
        </w:rPr>
        <w:t>分；</w:t>
      </w:r>
      <w:r>
        <w:rPr>
          <w:rFonts w:hint="eastAsia"/>
          <w:b/>
          <w:bCs/>
          <w:sz w:val="28"/>
          <w:szCs w:val="24"/>
          <w:lang w:val="en-US" w:eastAsia="zh-CN"/>
        </w:rPr>
        <w:t>2.</w:t>
      </w:r>
      <w:r>
        <w:rPr>
          <w:rFonts w:hint="eastAsia"/>
          <w:b/>
          <w:bCs/>
          <w:sz w:val="28"/>
          <w:szCs w:val="24"/>
          <w:lang w:eastAsia="zh-CN"/>
        </w:rPr>
        <w:t>检测方案内容齐全，能满足本工程提出的所有项目有合理可行的保证通过相关验收，针对性强，对工程重点、难点把握准确，先进可行，得</w:t>
      </w:r>
      <w:r>
        <w:rPr>
          <w:rFonts w:hint="eastAsia"/>
          <w:b/>
          <w:bCs/>
          <w:sz w:val="28"/>
          <w:szCs w:val="24"/>
          <w:lang w:val="en-US" w:eastAsia="zh-CN"/>
        </w:rPr>
        <w:t>6-10</w:t>
      </w:r>
      <w:r>
        <w:rPr>
          <w:rFonts w:hint="eastAsia"/>
          <w:b/>
          <w:bCs/>
          <w:sz w:val="28"/>
          <w:szCs w:val="24"/>
          <w:lang w:eastAsia="zh-CN"/>
        </w:rPr>
        <w:t>分（详见评标办法附表标黄部分）</w:t>
      </w:r>
      <w:r>
        <w:rPr>
          <w:rFonts w:hint="eastAsia" w:asciiTheme="minorEastAsia" w:hAnsiTheme="minorEastAsia" w:eastAsiaTheme="minorEastAsia" w:cstheme="minorEastAsia"/>
          <w:color w:val="auto"/>
          <w:kern w:val="2"/>
          <w:sz w:val="24"/>
          <w:szCs w:val="24"/>
        </w:rPr>
        <w:t>。</w:t>
      </w:r>
      <w:r>
        <w:rPr>
          <w:rFonts w:hint="eastAsia"/>
          <w:b w:val="0"/>
          <w:bCs w:val="0"/>
          <w:sz w:val="28"/>
          <w:szCs w:val="24"/>
          <w:lang w:eastAsia="zh-CN"/>
        </w:rPr>
        <w:t>后附评标办法附表。</w:t>
      </w:r>
      <w:bookmarkStart w:id="27" w:name="_GoBack"/>
      <w:bookmarkEnd w:id="27"/>
    </w:p>
    <w:p>
      <w:pPr>
        <w:pStyle w:val="2"/>
        <w:ind w:left="0" w:leftChars="0" w:firstLine="560" w:firstLineChars="200"/>
        <w:rPr>
          <w:rFonts w:hint="eastAsia"/>
          <w:b w:val="0"/>
          <w:bCs w:val="0"/>
          <w:sz w:val="28"/>
          <w:szCs w:val="24"/>
          <w:lang w:eastAsia="zh-CN"/>
        </w:rPr>
      </w:pPr>
    </w:p>
    <w:p>
      <w:pPr>
        <w:pStyle w:val="2"/>
        <w:ind w:left="0" w:leftChars="0" w:firstLine="560" w:firstLineChars="200"/>
        <w:jc w:val="right"/>
        <w:rPr>
          <w:rFonts w:hint="eastAsia"/>
          <w:b w:val="0"/>
          <w:bCs w:val="0"/>
          <w:sz w:val="28"/>
          <w:szCs w:val="24"/>
          <w:lang w:eastAsia="zh-CN"/>
        </w:rPr>
      </w:pPr>
      <w:r>
        <w:rPr>
          <w:rFonts w:hint="eastAsia"/>
          <w:b w:val="0"/>
          <w:bCs w:val="0"/>
          <w:sz w:val="28"/>
          <w:szCs w:val="24"/>
          <w:lang w:eastAsia="zh-CN"/>
        </w:rPr>
        <w:t>江西赣昌工程咨询有限公司</w:t>
      </w:r>
    </w:p>
    <w:p>
      <w:pPr>
        <w:pStyle w:val="2"/>
        <w:ind w:left="0" w:leftChars="0" w:firstLine="560" w:firstLineChars="200"/>
        <w:jc w:val="right"/>
        <w:rPr>
          <w:rFonts w:hint="default"/>
          <w:b w:val="0"/>
          <w:bCs w:val="0"/>
          <w:sz w:val="28"/>
          <w:szCs w:val="24"/>
          <w:lang w:val="en-US" w:eastAsia="zh-CN"/>
        </w:rPr>
      </w:pPr>
      <w:r>
        <w:rPr>
          <w:rFonts w:hint="eastAsia"/>
          <w:b w:val="0"/>
          <w:bCs w:val="0"/>
          <w:sz w:val="28"/>
          <w:szCs w:val="24"/>
          <w:lang w:val="en-US" w:eastAsia="zh-CN"/>
        </w:rPr>
        <w:t>2021年12月2日</w:t>
      </w:r>
    </w:p>
    <w:p>
      <w:pPr>
        <w:snapToGrid w:val="0"/>
        <w:spacing w:line="360" w:lineRule="auto"/>
        <w:rPr>
          <w:rFonts w:hint="eastAsia" w:ascii="宋体" w:hAnsi="宋体" w:cs="宋体"/>
          <w:b/>
          <w:color w:val="auto"/>
          <w:szCs w:val="21"/>
        </w:rPr>
      </w:pPr>
    </w:p>
    <w:p>
      <w:pPr>
        <w:snapToGrid w:val="0"/>
        <w:spacing w:line="360" w:lineRule="auto"/>
        <w:rPr>
          <w:rFonts w:hint="eastAsia" w:ascii="宋体" w:hAnsi="宋体" w:cs="宋体"/>
          <w:b/>
          <w:color w:val="auto"/>
          <w:szCs w:val="21"/>
        </w:rPr>
        <w:sectPr>
          <w:pgSz w:w="11906" w:h="16838"/>
          <w:pgMar w:top="1440" w:right="1417" w:bottom="1440" w:left="1417" w:header="851" w:footer="992" w:gutter="0"/>
          <w:cols w:space="425" w:num="1"/>
          <w:docGrid w:type="lines" w:linePitch="312" w:charSpace="0"/>
        </w:sectPr>
      </w:pPr>
    </w:p>
    <w:p>
      <w:pPr>
        <w:snapToGrid w:val="0"/>
        <w:spacing w:line="360" w:lineRule="auto"/>
        <w:rPr>
          <w:rFonts w:ascii="宋体" w:hAnsi="宋体" w:cs="宋体"/>
          <w:b/>
          <w:color w:val="auto"/>
          <w:szCs w:val="21"/>
        </w:rPr>
      </w:pPr>
      <w:r>
        <w:rPr>
          <w:rFonts w:hint="eastAsia" w:ascii="宋体" w:hAnsi="宋体" w:cs="宋体"/>
          <w:b/>
          <w:color w:val="auto"/>
          <w:szCs w:val="21"/>
        </w:rPr>
        <w:t xml:space="preserve">附表1-1 </w:t>
      </w:r>
    </w:p>
    <w:p>
      <w:pPr>
        <w:pStyle w:val="4"/>
        <w:widowControl/>
        <w:spacing w:before="0" w:after="0" w:line="360" w:lineRule="auto"/>
        <w:jc w:val="center"/>
        <w:rPr>
          <w:rFonts w:asciiTheme="minorEastAsia" w:hAnsiTheme="minorEastAsia" w:eastAsiaTheme="minorEastAsia" w:cstheme="minorEastAsia"/>
          <w:color w:val="auto"/>
          <w:sz w:val="24"/>
          <w:szCs w:val="24"/>
        </w:rPr>
      </w:pPr>
      <w:bookmarkStart w:id="0" w:name="_Toc27372"/>
      <w:r>
        <w:rPr>
          <w:rFonts w:hint="eastAsia" w:asciiTheme="minorEastAsia" w:hAnsiTheme="minorEastAsia" w:eastAsiaTheme="minorEastAsia" w:cstheme="minorEastAsia"/>
          <w:color w:val="auto"/>
          <w:sz w:val="24"/>
          <w:szCs w:val="24"/>
        </w:rPr>
        <w:t>三、评标办法</w:t>
      </w:r>
      <w:bookmarkEnd w:id="0"/>
    </w:p>
    <w:tbl>
      <w:tblPr>
        <w:tblStyle w:val="6"/>
        <w:tblpPr w:leftFromText="180" w:rightFromText="180" w:vertAnchor="text" w:horzAnchor="page" w:tblpX="1307" w:tblpY="514"/>
        <w:tblOverlap w:val="never"/>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4185"/>
        <w:gridCol w:w="321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170" w:type="dxa"/>
            <w:gridSpan w:val="4"/>
            <w:noWrap/>
            <w:vAlign w:val="center"/>
          </w:tcPr>
          <w:p>
            <w:pPr>
              <w:pStyle w:val="5"/>
              <w:spacing w:before="0" w:after="0" w:line="400" w:lineRule="exact"/>
              <w:rPr>
                <w:rFonts w:ascii="宋体" w:hAnsi="宋体" w:cs="宋体"/>
                <w:color w:val="auto"/>
                <w:sz w:val="24"/>
                <w:szCs w:val="24"/>
              </w:rPr>
            </w:pPr>
            <w:bookmarkStart w:id="1" w:name="_Toc31918"/>
            <w:bookmarkStart w:id="2" w:name="_Toc1871"/>
            <w:bookmarkStart w:id="3" w:name="_Toc48293533"/>
            <w:bookmarkStart w:id="4" w:name="_Toc46246483"/>
            <w:bookmarkStart w:id="5" w:name="_Toc48293627"/>
            <w:bookmarkStart w:id="6" w:name="_Toc48293529"/>
            <w:bookmarkStart w:id="7" w:name="_Toc71890635"/>
            <w:r>
              <w:rPr>
                <w:rFonts w:hint="eastAsia" w:ascii="宋体" w:hAnsi="宋体" w:cs="宋体"/>
                <w:b/>
                <w:bCs/>
                <w:color w:val="auto"/>
                <w:sz w:val="28"/>
                <w:szCs w:val="28"/>
              </w:rPr>
              <w:t>资格标评议</w:t>
            </w:r>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35" w:type="dxa"/>
            <w:noWrap/>
            <w:vAlign w:val="center"/>
          </w:tcPr>
          <w:p>
            <w:pPr>
              <w:snapToGrid w:val="0"/>
              <w:spacing w:line="300" w:lineRule="auto"/>
              <w:ind w:right="-108"/>
              <w:jc w:val="center"/>
              <w:rPr>
                <w:rFonts w:ascii="宋体" w:hAnsi="宋体" w:cs="宋体"/>
                <w:b/>
                <w:bCs/>
                <w:color w:val="auto"/>
                <w:sz w:val="24"/>
                <w:szCs w:val="24"/>
              </w:rPr>
            </w:pPr>
            <w:r>
              <w:rPr>
                <w:rFonts w:hint="eastAsia" w:ascii="宋体" w:hAnsi="宋体" w:cs="宋体"/>
                <w:b/>
                <w:color w:val="auto"/>
                <w:szCs w:val="21"/>
              </w:rPr>
              <w:t>评分项目</w:t>
            </w:r>
          </w:p>
        </w:tc>
        <w:tc>
          <w:tcPr>
            <w:tcW w:w="4185" w:type="dxa"/>
            <w:noWrap/>
            <w:vAlign w:val="center"/>
          </w:tcPr>
          <w:p>
            <w:pPr>
              <w:snapToGrid w:val="0"/>
              <w:spacing w:line="300" w:lineRule="auto"/>
              <w:ind w:right="-108"/>
              <w:jc w:val="center"/>
              <w:rPr>
                <w:rFonts w:ascii="宋体" w:hAnsi="宋体" w:cs="宋体"/>
                <w:b/>
                <w:bCs/>
                <w:color w:val="auto"/>
                <w:sz w:val="24"/>
                <w:szCs w:val="24"/>
              </w:rPr>
            </w:pPr>
            <w:r>
              <w:rPr>
                <w:rFonts w:hint="eastAsia" w:ascii="宋体" w:hAnsi="宋体" w:cs="宋体"/>
                <w:b/>
                <w:color w:val="auto"/>
                <w:szCs w:val="21"/>
              </w:rPr>
              <w:t>详细内容</w:t>
            </w:r>
          </w:p>
        </w:tc>
        <w:tc>
          <w:tcPr>
            <w:tcW w:w="4350" w:type="dxa"/>
            <w:gridSpan w:val="2"/>
            <w:noWrap/>
            <w:vAlign w:val="center"/>
          </w:tcPr>
          <w:p>
            <w:pPr>
              <w:snapToGrid w:val="0"/>
              <w:spacing w:line="300" w:lineRule="auto"/>
              <w:ind w:left="-107" w:leftChars="-51" w:right="-108"/>
              <w:jc w:val="center"/>
              <w:rPr>
                <w:rFonts w:ascii="宋体" w:hAnsi="宋体" w:cs="宋体"/>
                <w:color w:val="auto"/>
                <w:sz w:val="24"/>
                <w:szCs w:val="24"/>
              </w:rPr>
            </w:pPr>
            <w:r>
              <w:rPr>
                <w:rFonts w:hint="eastAsia" w:ascii="宋体" w:hAnsi="宋体" w:cs="宋体"/>
                <w:b/>
                <w:color w:val="auto"/>
                <w:szCs w:val="21"/>
              </w:rPr>
              <w:t>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635" w:type="dxa"/>
            <w:noWrap/>
            <w:vAlign w:val="center"/>
          </w:tcPr>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w:t>
            </w:r>
          </w:p>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营业执照</w:t>
            </w:r>
          </w:p>
        </w:tc>
        <w:tc>
          <w:tcPr>
            <w:tcW w:w="4185" w:type="dxa"/>
            <w:noWrap/>
            <w:vAlign w:val="center"/>
          </w:tcPr>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投标人应具有独立法人资格，持有工商行政管理部门核发的法人营业执照或事业单位登记机构核发的事业单位法人证书；</w:t>
            </w:r>
          </w:p>
        </w:tc>
        <w:tc>
          <w:tcPr>
            <w:tcW w:w="4350" w:type="dxa"/>
            <w:gridSpan w:val="2"/>
            <w:noWrap/>
            <w:vAlign w:val="center"/>
          </w:tcPr>
          <w:p>
            <w:pPr>
              <w:adjustRightInd/>
              <w:spacing w:line="400" w:lineRule="exact"/>
              <w:textAlignment w:val="auto"/>
              <w:rPr>
                <w:rFonts w:hint="eastAsia" w:asciiTheme="minorEastAsia" w:hAnsiTheme="minorEastAsia" w:eastAsiaTheme="minorEastAsia" w:cstheme="minorEastAsia"/>
                <w:color w:val="auto"/>
                <w:sz w:val="24"/>
                <w:szCs w:val="24"/>
              </w:rPr>
            </w:pPr>
            <w:bookmarkStart w:id="8" w:name="_Toc13489"/>
            <w:bookmarkStart w:id="9" w:name="_Toc31994"/>
            <w:r>
              <w:rPr>
                <w:rFonts w:hint="eastAsia" w:asciiTheme="minorEastAsia" w:hAnsiTheme="minorEastAsia" w:eastAsiaTheme="minorEastAsia" w:cstheme="minorEastAsia"/>
                <w:color w:val="auto"/>
                <w:sz w:val="24"/>
                <w:szCs w:val="24"/>
              </w:rPr>
              <w:t>凭工商行政管理部门核发的法人营业执照或事业单位登记机构核发的事业单位法人证书原件与投标文件中复印件一致评审。</w:t>
            </w:r>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1635" w:type="dxa"/>
            <w:noWrap/>
            <w:vAlign w:val="center"/>
          </w:tcPr>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资格证书</w:t>
            </w:r>
          </w:p>
        </w:tc>
        <w:tc>
          <w:tcPr>
            <w:tcW w:w="4185" w:type="dxa"/>
            <w:noWrap/>
            <w:vAlign w:val="center"/>
          </w:tcPr>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投标人应具备建设行政主管部门核发的《建设工程质量检测机构资质证书》（地基基础工程检测）及技术监督主管部门核发的CMA计量认证证书且证书附表中认证范围含桩基检测相关内容；</w:t>
            </w:r>
          </w:p>
        </w:tc>
        <w:tc>
          <w:tcPr>
            <w:tcW w:w="4350" w:type="dxa"/>
            <w:gridSpan w:val="2"/>
            <w:noWrap/>
            <w:vAlign w:val="center"/>
          </w:tcPr>
          <w:p>
            <w:pPr>
              <w:adjustRightInd/>
              <w:spacing w:line="400" w:lineRule="exact"/>
              <w:textAlignment w:val="auto"/>
              <w:rPr>
                <w:rFonts w:hint="eastAsia" w:asciiTheme="minorEastAsia" w:hAnsiTheme="minorEastAsia" w:eastAsiaTheme="minorEastAsia" w:cstheme="minorEastAsia"/>
                <w:color w:val="auto"/>
                <w:sz w:val="24"/>
                <w:szCs w:val="24"/>
              </w:rPr>
            </w:pPr>
            <w:bookmarkStart w:id="10" w:name="_Toc21591"/>
            <w:bookmarkStart w:id="11" w:name="_Toc16350"/>
            <w:r>
              <w:rPr>
                <w:rFonts w:hint="eastAsia" w:asciiTheme="minorEastAsia" w:hAnsiTheme="minorEastAsia" w:eastAsiaTheme="minorEastAsia" w:cstheme="minorEastAsia"/>
                <w:color w:val="auto"/>
                <w:sz w:val="24"/>
                <w:szCs w:val="24"/>
              </w:rPr>
              <w:t>凭资质证书、认证证书原件及其附表与投标文件中复印件一致评审。</w:t>
            </w:r>
            <w:bookmarkEnd w:id="10"/>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635" w:type="dxa"/>
            <w:noWrap/>
            <w:vAlign w:val="center"/>
          </w:tcPr>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授权委托书</w:t>
            </w:r>
          </w:p>
        </w:tc>
        <w:tc>
          <w:tcPr>
            <w:tcW w:w="4185" w:type="dxa"/>
            <w:noWrap/>
            <w:vAlign w:val="center"/>
          </w:tcPr>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法定代表人授权委托书</w:t>
            </w:r>
          </w:p>
        </w:tc>
        <w:tc>
          <w:tcPr>
            <w:tcW w:w="4350" w:type="dxa"/>
            <w:gridSpan w:val="2"/>
            <w:noWrap/>
            <w:vAlign w:val="center"/>
          </w:tcPr>
          <w:p>
            <w:pPr>
              <w:adjustRightInd/>
              <w:spacing w:line="400" w:lineRule="exact"/>
              <w:textAlignment w:val="auto"/>
              <w:rPr>
                <w:rFonts w:hint="eastAsia" w:asciiTheme="minorEastAsia" w:hAnsiTheme="minorEastAsia" w:eastAsiaTheme="minorEastAsia" w:cstheme="minorEastAsia"/>
                <w:color w:val="auto"/>
                <w:sz w:val="24"/>
                <w:szCs w:val="24"/>
              </w:rPr>
            </w:pPr>
            <w:bookmarkStart w:id="12" w:name="_Toc21393"/>
            <w:bookmarkStart w:id="13" w:name="_Toc23150"/>
            <w:r>
              <w:rPr>
                <w:rFonts w:hint="eastAsia" w:asciiTheme="minorEastAsia" w:hAnsiTheme="minorEastAsia" w:eastAsiaTheme="minorEastAsia" w:cstheme="minorEastAsia"/>
                <w:color w:val="auto"/>
                <w:sz w:val="24"/>
                <w:szCs w:val="24"/>
              </w:rPr>
              <w:t>授权委托书原件及身份证原件</w:t>
            </w:r>
            <w:bookmarkEnd w:id="12"/>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ign w:val="center"/>
          </w:tcPr>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是否接受</w:t>
            </w:r>
          </w:p>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联合体</w:t>
            </w:r>
          </w:p>
        </w:tc>
        <w:tc>
          <w:tcPr>
            <w:tcW w:w="4185" w:type="dxa"/>
            <w:noWrap/>
            <w:vAlign w:val="center"/>
          </w:tcPr>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本项目不接受联合体投标</w:t>
            </w:r>
          </w:p>
        </w:tc>
        <w:tc>
          <w:tcPr>
            <w:tcW w:w="4350" w:type="dxa"/>
            <w:gridSpan w:val="2"/>
            <w:noWrap/>
          </w:tcPr>
          <w:p>
            <w:pPr>
              <w:adjustRightInd/>
              <w:spacing w:line="400" w:lineRule="exact"/>
              <w:textAlignment w:val="auto"/>
              <w:rPr>
                <w:rFonts w:hint="eastAsia" w:asciiTheme="minorEastAsia" w:hAnsiTheme="minorEastAsia" w:eastAsiaTheme="minorEastAsia" w:cstheme="minorEastAsia"/>
                <w:color w:val="auto"/>
                <w:sz w:val="24"/>
                <w:szCs w:val="24"/>
              </w:rPr>
            </w:pPr>
            <w:bookmarkStart w:id="14" w:name="_Toc27450"/>
            <w:bookmarkStart w:id="15" w:name="_Toc9422"/>
            <w:r>
              <w:rPr>
                <w:rFonts w:hint="eastAsia" w:asciiTheme="minorEastAsia" w:hAnsiTheme="minorEastAsia" w:eastAsiaTheme="minorEastAsia" w:cstheme="minorEastAsia"/>
                <w:color w:val="auto"/>
                <w:sz w:val="24"/>
                <w:szCs w:val="24"/>
              </w:rPr>
              <w:t>/</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170" w:type="dxa"/>
            <w:gridSpan w:val="4"/>
            <w:noWrap/>
            <w:vAlign w:val="center"/>
          </w:tcPr>
          <w:p>
            <w:pPr>
              <w:pStyle w:val="5"/>
              <w:spacing w:before="0" w:after="0" w:line="400" w:lineRule="exact"/>
              <w:rPr>
                <w:rFonts w:ascii="宋体" w:hAnsi="宋体" w:cs="宋体"/>
                <w:b/>
                <w:bCs/>
                <w:color w:val="auto"/>
                <w:sz w:val="24"/>
                <w:szCs w:val="24"/>
              </w:rPr>
            </w:pPr>
            <w:bookmarkStart w:id="16" w:name="_Toc27697"/>
            <w:bookmarkStart w:id="17" w:name="_Toc5287"/>
            <w:r>
              <w:rPr>
                <w:rFonts w:hint="eastAsia" w:ascii="宋体" w:hAnsi="宋体" w:cs="宋体"/>
                <w:b/>
                <w:bCs/>
                <w:color w:val="auto"/>
                <w:sz w:val="24"/>
                <w:szCs w:val="24"/>
              </w:rPr>
              <w:t>价格评议</w:t>
            </w:r>
            <w:bookmarkEnd w:id="16"/>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ign w:val="center"/>
          </w:tcPr>
          <w:p>
            <w:pPr>
              <w:snapToGrid w:val="0"/>
              <w:spacing w:line="300" w:lineRule="auto"/>
              <w:ind w:right="-108"/>
              <w:jc w:val="center"/>
              <w:rPr>
                <w:rFonts w:ascii="宋体" w:hAnsi="宋体" w:cs="宋体"/>
                <w:b/>
                <w:bCs/>
                <w:color w:val="auto"/>
                <w:kern w:val="2"/>
                <w:sz w:val="24"/>
                <w:szCs w:val="24"/>
              </w:rPr>
            </w:pPr>
            <w:r>
              <w:rPr>
                <w:rFonts w:hint="eastAsia" w:ascii="宋体" w:hAnsi="宋体" w:cs="宋体"/>
                <w:b/>
                <w:color w:val="auto"/>
                <w:sz w:val="24"/>
                <w:szCs w:val="24"/>
              </w:rPr>
              <w:t>评分项目</w:t>
            </w:r>
          </w:p>
        </w:tc>
        <w:tc>
          <w:tcPr>
            <w:tcW w:w="4185" w:type="dxa"/>
            <w:noWrap/>
            <w:vAlign w:val="center"/>
          </w:tcPr>
          <w:p>
            <w:pPr>
              <w:snapToGrid w:val="0"/>
              <w:spacing w:line="300" w:lineRule="auto"/>
              <w:ind w:right="-108"/>
              <w:jc w:val="center"/>
              <w:rPr>
                <w:rFonts w:ascii="宋体" w:hAnsi="宋体" w:cs="宋体"/>
                <w:b/>
                <w:bCs/>
                <w:color w:val="auto"/>
                <w:kern w:val="2"/>
                <w:sz w:val="24"/>
                <w:szCs w:val="24"/>
              </w:rPr>
            </w:pPr>
            <w:r>
              <w:rPr>
                <w:rFonts w:hint="eastAsia" w:ascii="宋体" w:hAnsi="宋体" w:cs="宋体"/>
                <w:b/>
                <w:color w:val="auto"/>
                <w:sz w:val="24"/>
                <w:szCs w:val="24"/>
              </w:rPr>
              <w:t>详细内容</w:t>
            </w:r>
          </w:p>
        </w:tc>
        <w:tc>
          <w:tcPr>
            <w:tcW w:w="3210" w:type="dxa"/>
            <w:noWrap/>
            <w:vAlign w:val="center"/>
          </w:tcPr>
          <w:p>
            <w:pPr>
              <w:snapToGrid w:val="0"/>
              <w:spacing w:line="300" w:lineRule="auto"/>
              <w:ind w:left="-107" w:leftChars="-51" w:right="-108"/>
              <w:jc w:val="center"/>
              <w:rPr>
                <w:rFonts w:ascii="宋体" w:hAnsi="宋体" w:cs="宋体"/>
                <w:b/>
                <w:bCs/>
                <w:color w:val="auto"/>
                <w:sz w:val="24"/>
                <w:szCs w:val="24"/>
              </w:rPr>
            </w:pPr>
            <w:r>
              <w:rPr>
                <w:rFonts w:hint="eastAsia" w:ascii="宋体" w:hAnsi="宋体" w:cs="宋体"/>
                <w:b/>
                <w:color w:val="auto"/>
                <w:sz w:val="24"/>
                <w:szCs w:val="24"/>
              </w:rPr>
              <w:t>评审依据</w:t>
            </w:r>
          </w:p>
        </w:tc>
        <w:tc>
          <w:tcPr>
            <w:tcW w:w="1140" w:type="dxa"/>
            <w:noWrap/>
            <w:vAlign w:val="center"/>
          </w:tcPr>
          <w:p>
            <w:pPr>
              <w:snapToGrid w:val="0"/>
              <w:spacing w:line="300" w:lineRule="auto"/>
              <w:ind w:left="-107" w:leftChars="-51" w:right="-108"/>
              <w:jc w:val="center"/>
              <w:rPr>
                <w:rFonts w:ascii="宋体" w:hAnsi="宋体" w:cs="宋体"/>
                <w:b/>
                <w:color w:val="auto"/>
                <w:szCs w:val="21"/>
              </w:rPr>
            </w:pPr>
            <w:r>
              <w:rPr>
                <w:rFonts w:hint="eastAsia" w:ascii="宋体" w:hAnsi="宋体" w:cs="宋体"/>
                <w:b/>
                <w:color w:val="auto"/>
                <w:szCs w:val="21"/>
              </w:rPr>
              <w:t>分值（总分1</w:t>
            </w:r>
            <w:r>
              <w:rPr>
                <w:rFonts w:hint="eastAsia" w:ascii="宋体" w:hAnsi="宋体" w:cs="宋体"/>
                <w:b/>
                <w:color w:val="auto"/>
                <w:szCs w:val="21"/>
                <w:lang w:val="en-US" w:eastAsia="zh-CN"/>
              </w:rPr>
              <w:t>0</w:t>
            </w:r>
            <w:r>
              <w:rPr>
                <w:rFonts w:hint="eastAsia" w:ascii="宋体" w:hAnsi="宋体" w:cs="宋体"/>
                <w:b/>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1635" w:type="dxa"/>
            <w:noWrap/>
            <w:vAlign w:val="center"/>
          </w:tcPr>
          <w:p>
            <w:pPr>
              <w:pStyle w:val="5"/>
              <w:spacing w:before="0" w:after="0" w:line="400" w:lineRule="exact"/>
              <w:rPr>
                <w:rFonts w:asciiTheme="minorEastAsia" w:hAnsiTheme="minorEastAsia" w:eastAsiaTheme="minorEastAsia" w:cstheme="minorEastAsia"/>
                <w:color w:val="auto"/>
                <w:sz w:val="24"/>
                <w:szCs w:val="24"/>
              </w:rPr>
            </w:pPr>
            <w:bookmarkStart w:id="18" w:name="_Toc11568"/>
            <w:bookmarkStart w:id="19" w:name="_Toc19733"/>
            <w:r>
              <w:rPr>
                <w:rFonts w:hint="eastAsia" w:asciiTheme="minorEastAsia" w:hAnsiTheme="minorEastAsia" w:eastAsiaTheme="minorEastAsia" w:cstheme="minorEastAsia"/>
                <w:color w:val="auto"/>
                <w:sz w:val="24"/>
                <w:szCs w:val="24"/>
              </w:rPr>
              <w:t>价格评分</w:t>
            </w:r>
            <w:bookmarkEnd w:id="3"/>
            <w:bookmarkEnd w:id="4"/>
            <w:bookmarkEnd w:id="5"/>
            <w:bookmarkEnd w:id="18"/>
            <w:bookmarkEnd w:id="19"/>
          </w:p>
        </w:tc>
        <w:tc>
          <w:tcPr>
            <w:tcW w:w="4185" w:type="dxa"/>
            <w:noWrap/>
          </w:tcPr>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投标人投标报价得分的计算: </w:t>
            </w:r>
          </w:p>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评标基准价=所有有效投标总报价的算术平均值,投标总报价不得超过本项目招标控制总价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单项报价也不得超过招标控制单价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,否则按否决投标处理。 </w:t>
            </w:r>
          </w:p>
          <w:p>
            <w:pPr>
              <w:adjustRightInd/>
              <w:spacing w:line="400" w:lineRule="exact"/>
              <w:textAlignment w:val="auto"/>
              <w:rPr>
                <w:rFonts w:hint="eastAsia"/>
                <w:color w:val="auto"/>
              </w:rPr>
            </w:pPr>
            <w:r>
              <w:rPr>
                <w:rFonts w:hint="eastAsia" w:asciiTheme="minorEastAsia" w:hAnsiTheme="minorEastAsia" w:eastAsiaTheme="minorEastAsia" w:cstheme="minorEastAsia"/>
                <w:color w:val="auto"/>
                <w:sz w:val="24"/>
                <w:szCs w:val="24"/>
              </w:rPr>
              <w:t>投标人总报价每高于评标基准价1个百分点(1%)扣0.02分,每低于评标基准价1个百分点(1%)扣0.01分,不足1%按直线插入法计算,最终计算得分四</w:t>
            </w:r>
            <w:r>
              <w:rPr>
                <w:rFonts w:hint="eastAsia" w:asciiTheme="minorEastAsia" w:hAnsiTheme="minorEastAsia" w:eastAsiaTheme="minorEastAsia" w:cstheme="minorEastAsia"/>
                <w:color w:val="auto"/>
                <w:sz w:val="24"/>
                <w:szCs w:val="24"/>
                <w:lang w:eastAsia="zh-CN"/>
              </w:rPr>
              <w:t>舍</w:t>
            </w:r>
            <w:r>
              <w:rPr>
                <w:rFonts w:hint="eastAsia" w:asciiTheme="minorEastAsia" w:hAnsiTheme="minorEastAsia" w:eastAsiaTheme="minorEastAsia" w:cstheme="minorEastAsia"/>
                <w:color w:val="auto"/>
                <w:sz w:val="24"/>
                <w:szCs w:val="24"/>
              </w:rPr>
              <w:t>五入精确到小数点后两位。</w:t>
            </w:r>
            <w:r>
              <w:rPr>
                <w:rFonts w:hint="eastAsia" w:asciiTheme="minorEastAsia" w:hAnsiTheme="minorEastAsia" w:eastAsiaTheme="minorEastAsia" w:cstheme="minorEastAsia"/>
                <w:color w:val="auto"/>
                <w:sz w:val="24"/>
                <w:szCs w:val="24"/>
              </w:rPr>
              <w:br w:type="textWrapping"/>
            </w:r>
          </w:p>
          <w:p>
            <w:pPr>
              <w:adjustRightIn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计算公式如下:投标总报价&gt;基准价时,报价得分=</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0-[(投标总报价-评标基准价)/评标基准价]</w:t>
            </w:r>
            <w:r>
              <w:rPr>
                <w:rFonts w:hint="default"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100</w:t>
            </w:r>
            <w:r>
              <w:rPr>
                <w:rFonts w:hint="default"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0.02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投标报价&lt;基准价时,报价得分=</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0-[(评标基准价-投标总报价)评标基准价]</w:t>
            </w:r>
            <w:r>
              <w:rPr>
                <w:rFonts w:hint="default"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 xml:space="preserve"> 100</w:t>
            </w:r>
            <w:r>
              <w:rPr>
                <w:rFonts w:hint="default"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 xml:space="preserve">0.01。 </w:t>
            </w:r>
          </w:p>
          <w:p>
            <w:pPr>
              <w:adjustRightInd/>
              <w:spacing w:line="400" w:lineRule="exact"/>
              <w:textAlignment w:val="auto"/>
              <w:rPr>
                <w:color w:val="auto"/>
                <w:sz w:val="24"/>
                <w:szCs w:val="24"/>
              </w:rPr>
            </w:pPr>
            <w:r>
              <w:rPr>
                <w:rFonts w:hint="eastAsia" w:asciiTheme="minorEastAsia" w:hAnsiTheme="minorEastAsia" w:eastAsiaTheme="minorEastAsia" w:cstheme="minorEastAsia"/>
                <w:color w:val="auto"/>
                <w:sz w:val="24"/>
                <w:szCs w:val="24"/>
              </w:rPr>
              <w:t>备注:评标委员会依据评审规定认定其低于其个别成本报价竞标,评标员会可以询标,要求该投标人当时、当场提供相关证明材料,并作出书</w:t>
            </w:r>
            <w:r>
              <w:rPr>
                <w:rFonts w:hint="eastAsia" w:asciiTheme="minorEastAsia" w:hAnsiTheme="minorEastAsia" w:eastAsiaTheme="minorEastAsia" w:cstheme="minorEastAsia"/>
                <w:color w:val="auto"/>
                <w:sz w:val="24"/>
                <w:szCs w:val="24"/>
                <w:lang w:eastAsia="zh-CN"/>
              </w:rPr>
              <w:t>面</w:t>
            </w:r>
            <w:r>
              <w:rPr>
                <w:rFonts w:hint="eastAsia" w:asciiTheme="minorEastAsia" w:hAnsiTheme="minorEastAsia" w:eastAsiaTheme="minorEastAsia" w:cstheme="minorEastAsia"/>
                <w:color w:val="auto"/>
                <w:sz w:val="24"/>
                <w:szCs w:val="24"/>
              </w:rPr>
              <w:t>说明。询标后,不能合理说明理由或不能提供相关证明材料或拒绝澄清、 说明和补正的,评标委员会应认定该投标人低于成本报价竞争,其投标应当予以否决。</w:t>
            </w:r>
          </w:p>
        </w:tc>
        <w:tc>
          <w:tcPr>
            <w:tcW w:w="3210" w:type="dxa"/>
            <w:noWrap/>
            <w:vAlign w:val="center"/>
          </w:tcPr>
          <w:p>
            <w:pPr>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说明：1、评标委员会在对有效投标人投标报价得分计分前，先对有效投标人的投标报价进行评定（</w:t>
            </w:r>
            <w:r>
              <w:rPr>
                <w:rFonts w:hint="eastAsia" w:asciiTheme="minorEastAsia" w:hAnsiTheme="minorEastAsia" w:eastAsiaTheme="minorEastAsia" w:cstheme="minorEastAsia"/>
                <w:b/>
                <w:color w:val="auto"/>
                <w:sz w:val="24"/>
                <w:szCs w:val="24"/>
              </w:rPr>
              <w:t>高于或等于招标控制价总价和分项控制价的为无效报价</w:t>
            </w:r>
            <w:r>
              <w:rPr>
                <w:rFonts w:hint="eastAsia" w:asciiTheme="minorEastAsia" w:hAnsiTheme="minorEastAsia" w:eastAsiaTheme="minorEastAsia" w:cstheme="minorEastAsia"/>
                <w:b/>
                <w:bCs/>
                <w:color w:val="auto"/>
                <w:sz w:val="24"/>
                <w:szCs w:val="24"/>
              </w:rPr>
              <w:t>）。</w:t>
            </w:r>
          </w:p>
        </w:tc>
        <w:tc>
          <w:tcPr>
            <w:tcW w:w="1140" w:type="dxa"/>
            <w:noWrap/>
            <w:vAlign w:val="center"/>
          </w:tcPr>
          <w:p>
            <w:pPr>
              <w:pStyle w:val="5"/>
              <w:spacing w:before="0" w:after="0" w:line="400" w:lineRule="exact"/>
              <w:rPr>
                <w:rFonts w:asciiTheme="minorEastAsia" w:hAnsiTheme="minorEastAsia" w:eastAsiaTheme="minorEastAsia" w:cstheme="minorEastAsia"/>
                <w:color w:val="auto"/>
                <w:sz w:val="24"/>
                <w:szCs w:val="24"/>
              </w:rPr>
            </w:pPr>
            <w:bookmarkStart w:id="20" w:name="_Toc20214"/>
            <w:bookmarkStart w:id="21" w:name="_Toc1233"/>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170" w:type="dxa"/>
            <w:gridSpan w:val="4"/>
            <w:noWrap/>
          </w:tcPr>
          <w:p>
            <w:pPr>
              <w:pStyle w:val="5"/>
              <w:spacing w:before="0" w:after="0" w:line="400" w:lineRule="exact"/>
              <w:rPr>
                <w:rFonts w:ascii="宋体" w:hAnsi="宋体" w:cs="宋体"/>
                <w:b/>
                <w:bCs/>
                <w:color w:val="auto"/>
                <w:sz w:val="24"/>
                <w:szCs w:val="24"/>
              </w:rPr>
            </w:pPr>
            <w:bookmarkStart w:id="22" w:name="_Toc48293630"/>
            <w:bookmarkStart w:id="23" w:name="_Toc8654"/>
            <w:bookmarkStart w:id="24" w:name="_Toc46246486"/>
            <w:bookmarkStart w:id="25" w:name="_Toc48293536"/>
            <w:bookmarkStart w:id="26" w:name="_Toc23882"/>
            <w:r>
              <w:rPr>
                <w:rFonts w:hint="eastAsia" w:ascii="宋体" w:hAnsi="宋体" w:cs="宋体"/>
                <w:b/>
                <w:bCs/>
                <w:color w:val="auto"/>
                <w:sz w:val="24"/>
                <w:szCs w:val="24"/>
              </w:rPr>
              <w:t>技术评议</w:t>
            </w:r>
            <w:bookmarkEnd w:id="22"/>
            <w:bookmarkEnd w:id="23"/>
            <w:bookmarkEnd w:id="24"/>
            <w:bookmarkEnd w:id="25"/>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35" w:type="dxa"/>
            <w:noWrap/>
            <w:vAlign w:val="center"/>
          </w:tcPr>
          <w:p>
            <w:pPr>
              <w:snapToGrid w:val="0"/>
              <w:spacing w:line="300" w:lineRule="auto"/>
              <w:ind w:right="-108"/>
              <w:jc w:val="center"/>
              <w:rPr>
                <w:rFonts w:ascii="宋体" w:hAnsi="宋体" w:cs="宋体"/>
                <w:b/>
                <w:bCs/>
                <w:color w:val="auto"/>
                <w:sz w:val="24"/>
                <w:szCs w:val="24"/>
              </w:rPr>
            </w:pPr>
            <w:r>
              <w:rPr>
                <w:rFonts w:hint="eastAsia" w:ascii="宋体" w:hAnsi="宋体" w:cs="宋体"/>
                <w:b/>
                <w:color w:val="auto"/>
                <w:sz w:val="24"/>
                <w:szCs w:val="24"/>
              </w:rPr>
              <w:t>评分项目</w:t>
            </w:r>
          </w:p>
        </w:tc>
        <w:tc>
          <w:tcPr>
            <w:tcW w:w="4185" w:type="dxa"/>
            <w:noWrap/>
            <w:vAlign w:val="center"/>
          </w:tcPr>
          <w:p>
            <w:pPr>
              <w:snapToGrid w:val="0"/>
              <w:spacing w:line="300" w:lineRule="auto"/>
              <w:ind w:right="-108"/>
              <w:jc w:val="center"/>
              <w:rPr>
                <w:rFonts w:ascii="宋体" w:hAnsi="宋体" w:cs="宋体"/>
                <w:b/>
                <w:bCs/>
                <w:color w:val="auto"/>
                <w:sz w:val="24"/>
                <w:szCs w:val="24"/>
              </w:rPr>
            </w:pPr>
            <w:r>
              <w:rPr>
                <w:rFonts w:hint="eastAsia" w:ascii="宋体" w:hAnsi="宋体" w:cs="宋体"/>
                <w:b/>
                <w:color w:val="auto"/>
                <w:sz w:val="24"/>
                <w:szCs w:val="24"/>
              </w:rPr>
              <w:t>详细内容</w:t>
            </w:r>
          </w:p>
        </w:tc>
        <w:tc>
          <w:tcPr>
            <w:tcW w:w="3210" w:type="dxa"/>
            <w:noWrap/>
            <w:vAlign w:val="center"/>
          </w:tcPr>
          <w:p>
            <w:pPr>
              <w:snapToGrid w:val="0"/>
              <w:spacing w:line="300" w:lineRule="auto"/>
              <w:ind w:left="-107" w:leftChars="-51" w:right="-108"/>
              <w:jc w:val="center"/>
              <w:rPr>
                <w:rFonts w:ascii="宋体" w:hAnsi="宋体" w:cs="宋体"/>
                <w:b/>
                <w:bCs/>
                <w:color w:val="auto"/>
                <w:sz w:val="24"/>
                <w:szCs w:val="24"/>
              </w:rPr>
            </w:pPr>
            <w:r>
              <w:rPr>
                <w:rFonts w:hint="eastAsia" w:ascii="宋体" w:hAnsi="宋体" w:cs="宋体"/>
                <w:b/>
                <w:color w:val="auto"/>
                <w:sz w:val="24"/>
                <w:szCs w:val="24"/>
              </w:rPr>
              <w:t>评审依据</w:t>
            </w:r>
          </w:p>
        </w:tc>
        <w:tc>
          <w:tcPr>
            <w:tcW w:w="1140" w:type="dxa"/>
            <w:noWrap/>
            <w:vAlign w:val="center"/>
          </w:tcPr>
          <w:p>
            <w:pPr>
              <w:snapToGrid w:val="0"/>
              <w:spacing w:line="300" w:lineRule="auto"/>
              <w:ind w:left="-107" w:leftChars="-51" w:right="-108"/>
              <w:jc w:val="center"/>
              <w:rPr>
                <w:rFonts w:ascii="宋体" w:hAnsi="宋体" w:cs="宋体"/>
                <w:b/>
                <w:bCs/>
                <w:color w:val="auto"/>
                <w:sz w:val="24"/>
                <w:szCs w:val="24"/>
              </w:rPr>
            </w:pPr>
            <w:r>
              <w:rPr>
                <w:rFonts w:hint="eastAsia" w:ascii="宋体" w:hAnsi="宋体" w:cs="宋体"/>
                <w:b/>
                <w:color w:val="auto"/>
                <w:szCs w:val="21"/>
              </w:rPr>
              <w:t>分值（总分5</w:t>
            </w:r>
            <w:r>
              <w:rPr>
                <w:rFonts w:hint="eastAsia" w:ascii="宋体" w:hAnsi="宋体" w:cs="宋体"/>
                <w:b/>
                <w:color w:val="auto"/>
                <w:szCs w:val="21"/>
                <w:lang w:val="en-US" w:eastAsia="zh-CN"/>
              </w:rPr>
              <w:t>0</w:t>
            </w:r>
            <w:r>
              <w:rPr>
                <w:rFonts w:hint="eastAsia" w:ascii="宋体" w:hAnsi="宋体" w:cs="宋体"/>
                <w:b/>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635" w:type="dxa"/>
            <w:noWrap/>
            <w:vAlign w:val="center"/>
          </w:tcPr>
          <w:p>
            <w:pPr>
              <w:adjustRightInd/>
              <w:spacing w:line="400" w:lineRule="exact"/>
              <w:jc w:val="center"/>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检测</w:t>
            </w:r>
          </w:p>
          <w:p>
            <w:pPr>
              <w:adjustRightInd/>
              <w:spacing w:line="400" w:lineRule="exact"/>
              <w:jc w:val="center"/>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方案</w:t>
            </w:r>
          </w:p>
        </w:tc>
        <w:tc>
          <w:tcPr>
            <w:tcW w:w="4185" w:type="dxa"/>
            <w:noWrap/>
            <w:vAlign w:val="center"/>
          </w:tcPr>
          <w:p>
            <w:pPr>
              <w:adjustRightInd/>
              <w:spacing w:line="400" w:lineRule="exact"/>
              <w:textAlignment w:val="auto"/>
              <w:rPr>
                <w:rFonts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yellow"/>
              </w:rPr>
              <w:t>1.检测方案内容齐全，能满足本工程提出的所有项目，得1-</w:t>
            </w:r>
            <w:r>
              <w:rPr>
                <w:rFonts w:hint="eastAsia" w:asciiTheme="minorEastAsia" w:hAnsiTheme="minorEastAsia" w:eastAsiaTheme="minorEastAsia" w:cstheme="minorEastAsia"/>
                <w:color w:val="auto"/>
                <w:sz w:val="24"/>
                <w:szCs w:val="24"/>
                <w:highlight w:val="yellow"/>
                <w:lang w:val="en-US" w:eastAsia="zh-CN"/>
              </w:rPr>
              <w:t>5</w:t>
            </w:r>
            <w:r>
              <w:rPr>
                <w:rFonts w:hint="eastAsia" w:asciiTheme="minorEastAsia" w:hAnsiTheme="minorEastAsia" w:eastAsiaTheme="minorEastAsia" w:cstheme="minorEastAsia"/>
                <w:color w:val="auto"/>
                <w:sz w:val="24"/>
                <w:szCs w:val="24"/>
                <w:highlight w:val="yellow"/>
              </w:rPr>
              <w:t>分；</w:t>
            </w:r>
          </w:p>
          <w:p>
            <w:pPr>
              <w:adjustRightInd/>
              <w:spacing w:line="400" w:lineRule="exact"/>
              <w:textAlignment w:val="auto"/>
              <w:rPr>
                <w:rFonts w:asciiTheme="minorEastAsia" w:hAnsiTheme="minorEastAsia" w:eastAsiaTheme="minorEastAsia" w:cstheme="minorEastAsia"/>
                <w:color w:val="auto"/>
                <w:kern w:val="2"/>
                <w:sz w:val="24"/>
                <w:szCs w:val="24"/>
                <w:lang w:val="zh-CN"/>
              </w:rPr>
            </w:pPr>
            <w:r>
              <w:rPr>
                <w:rFonts w:hint="eastAsia" w:asciiTheme="minorEastAsia" w:hAnsiTheme="minorEastAsia" w:eastAsiaTheme="minorEastAsia" w:cstheme="minorEastAsia"/>
                <w:color w:val="auto"/>
                <w:sz w:val="24"/>
                <w:szCs w:val="24"/>
                <w:highlight w:val="yellow"/>
              </w:rPr>
              <w:t>2.检测方案内容齐全，能满足本工程提出的所有项目有合理可行的保证通过相关验收，</w:t>
            </w:r>
            <w:r>
              <w:rPr>
                <w:rFonts w:hint="eastAsia" w:asciiTheme="minorEastAsia" w:hAnsiTheme="minorEastAsia" w:eastAsiaTheme="minorEastAsia" w:cstheme="minorEastAsia"/>
                <w:color w:val="auto"/>
                <w:kern w:val="2"/>
                <w:sz w:val="24"/>
                <w:szCs w:val="24"/>
                <w:highlight w:val="yellow"/>
              </w:rPr>
              <w:t>针对性强，对工程重点、难点把握准确，先进可行，得</w:t>
            </w:r>
            <w:r>
              <w:rPr>
                <w:rFonts w:hint="eastAsia" w:asciiTheme="minorEastAsia" w:hAnsiTheme="minorEastAsia" w:eastAsiaTheme="minorEastAsia" w:cstheme="minorEastAsia"/>
                <w:color w:val="auto"/>
                <w:kern w:val="2"/>
                <w:sz w:val="24"/>
                <w:szCs w:val="24"/>
                <w:highlight w:val="yellow"/>
                <w:lang w:val="en-US" w:eastAsia="zh-CN"/>
              </w:rPr>
              <w:t>6</w:t>
            </w:r>
            <w:r>
              <w:rPr>
                <w:rFonts w:hint="eastAsia" w:asciiTheme="minorEastAsia" w:hAnsiTheme="minorEastAsia" w:eastAsiaTheme="minorEastAsia" w:cstheme="minorEastAsia"/>
                <w:color w:val="auto"/>
                <w:kern w:val="2"/>
                <w:sz w:val="24"/>
                <w:szCs w:val="24"/>
                <w:highlight w:val="yellow"/>
              </w:rPr>
              <w:t>-</w:t>
            </w:r>
            <w:r>
              <w:rPr>
                <w:rFonts w:hint="eastAsia" w:asciiTheme="minorEastAsia" w:hAnsiTheme="minorEastAsia" w:eastAsiaTheme="minorEastAsia" w:cstheme="minorEastAsia"/>
                <w:color w:val="auto"/>
                <w:kern w:val="2"/>
                <w:sz w:val="24"/>
                <w:szCs w:val="24"/>
                <w:highlight w:val="yellow"/>
                <w:lang w:val="en-US" w:eastAsia="zh-CN"/>
              </w:rPr>
              <w:t>10</w:t>
            </w:r>
            <w:r>
              <w:rPr>
                <w:rFonts w:hint="eastAsia" w:asciiTheme="minorEastAsia" w:hAnsiTheme="minorEastAsia" w:eastAsiaTheme="minorEastAsia" w:cstheme="minorEastAsia"/>
                <w:color w:val="auto"/>
                <w:kern w:val="2"/>
                <w:sz w:val="24"/>
                <w:szCs w:val="24"/>
                <w:highlight w:val="yellow"/>
              </w:rPr>
              <w:t>分。</w:t>
            </w:r>
          </w:p>
        </w:tc>
        <w:tc>
          <w:tcPr>
            <w:tcW w:w="3210" w:type="dxa"/>
            <w:noWrap/>
            <w:vAlign w:val="center"/>
          </w:tcPr>
          <w:p>
            <w:pPr>
              <w:adjustRightInd/>
              <w:snapToGrid w:val="0"/>
              <w:spacing w:line="400" w:lineRule="exact"/>
              <w:jc w:val="center"/>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检测方案</w:t>
            </w:r>
          </w:p>
        </w:tc>
        <w:tc>
          <w:tcPr>
            <w:tcW w:w="1140" w:type="dxa"/>
            <w:noWrap/>
            <w:vAlign w:val="center"/>
          </w:tcPr>
          <w:p>
            <w:pPr>
              <w:adjustRightInd/>
              <w:spacing w:line="400" w:lineRule="exact"/>
              <w:jc w:val="center"/>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rPr>
              <w:t>10</w:t>
            </w:r>
            <w:r>
              <w:rPr>
                <w:rFonts w:hint="eastAsia" w:asciiTheme="minorEastAsia" w:hAnsiTheme="minorEastAsia" w:eastAsiaTheme="minorEastAsia" w:cstheme="minorEastAsia"/>
                <w:color w:val="auto"/>
                <w:kern w:val="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635" w:type="dxa"/>
            <w:noWrap/>
            <w:vAlign w:val="center"/>
          </w:tcPr>
          <w:p>
            <w:pPr>
              <w:adjustRightInd/>
              <w:spacing w:line="400" w:lineRule="exact"/>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进度计划</w:t>
            </w:r>
          </w:p>
          <w:p>
            <w:pPr>
              <w:adjustRightInd/>
              <w:spacing w:line="400" w:lineRule="exact"/>
              <w:jc w:val="center"/>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及措施</w:t>
            </w:r>
          </w:p>
        </w:tc>
        <w:tc>
          <w:tcPr>
            <w:tcW w:w="4185" w:type="dxa"/>
            <w:noWrap/>
            <w:vAlign w:val="center"/>
          </w:tcPr>
          <w:p>
            <w:pPr>
              <w:adjustRightInd/>
              <w:spacing w:line="400" w:lineRule="exact"/>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1.有明确的进度计划，且能满足本项目工期要求的，得0-5分；</w:t>
            </w:r>
          </w:p>
          <w:p>
            <w:pPr>
              <w:pStyle w:val="2"/>
              <w:ind w:firstLine="0" w:firstLine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zh-CN"/>
              </w:rPr>
              <w:t>有明确的进度计划，且能满足本项目工期要求，包含进度计划、工作分工等，内容完整详细且符合实际情况，并对项目实施过程中的关注重点，得</w:t>
            </w:r>
            <w:r>
              <w:rPr>
                <w:rFonts w:hint="eastAsia" w:asciiTheme="minorEastAsia" w:hAnsiTheme="minorEastAsia" w:eastAsiaTheme="minorEastAsia" w:cstheme="minorEastAsia"/>
                <w:color w:val="auto"/>
                <w:sz w:val="24"/>
                <w:szCs w:val="24"/>
              </w:rPr>
              <w:t>6-10分</w:t>
            </w:r>
          </w:p>
        </w:tc>
        <w:tc>
          <w:tcPr>
            <w:tcW w:w="3210" w:type="dxa"/>
            <w:noWrap/>
            <w:vAlign w:val="center"/>
          </w:tcPr>
          <w:p>
            <w:pPr>
              <w:adjustRightInd/>
              <w:snapToGrid w:val="0"/>
              <w:spacing w:line="400" w:lineRule="exact"/>
              <w:jc w:val="center"/>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检测方案</w:t>
            </w:r>
          </w:p>
        </w:tc>
        <w:tc>
          <w:tcPr>
            <w:tcW w:w="1140" w:type="dxa"/>
            <w:noWrap/>
            <w:vAlign w:val="center"/>
          </w:tcPr>
          <w:p>
            <w:pPr>
              <w:adjustRightInd/>
              <w:spacing w:line="400" w:lineRule="exact"/>
              <w:jc w:val="center"/>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635" w:type="dxa"/>
            <w:noWrap/>
            <w:vAlign w:val="center"/>
          </w:tcPr>
          <w:p>
            <w:pPr>
              <w:adjustRightInd/>
              <w:spacing w:line="400" w:lineRule="exact"/>
              <w:jc w:val="center"/>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安全管理体系与措施</w:t>
            </w:r>
          </w:p>
        </w:tc>
        <w:tc>
          <w:tcPr>
            <w:tcW w:w="4185" w:type="dxa"/>
            <w:noWrap/>
            <w:vAlign w:val="center"/>
          </w:tcPr>
          <w:p>
            <w:pPr>
              <w:adjustRightInd/>
              <w:spacing w:line="400" w:lineRule="exact"/>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1.有配套的安全管理体系，且实际可行，得0-5分；</w:t>
            </w:r>
          </w:p>
          <w:p>
            <w:pPr>
              <w:adjustRightInd/>
              <w:spacing w:line="400" w:lineRule="exact"/>
              <w:textAlignment w:val="auto"/>
              <w:rPr>
                <w:rFonts w:asciiTheme="minorEastAsia" w:hAnsiTheme="minorEastAsia" w:eastAsiaTheme="minorEastAsia" w:cstheme="minorEastAsia"/>
                <w:color w:val="auto"/>
                <w:kern w:val="2"/>
                <w:sz w:val="24"/>
                <w:szCs w:val="24"/>
                <w:lang w:val="zh-CN"/>
              </w:rPr>
            </w:pPr>
            <w:r>
              <w:rPr>
                <w:rFonts w:hint="eastAsia" w:asciiTheme="minorEastAsia" w:hAnsiTheme="minorEastAsia" w:eastAsiaTheme="minorEastAsia" w:cstheme="minorEastAsia"/>
                <w:color w:val="auto"/>
                <w:kern w:val="2"/>
                <w:sz w:val="24"/>
                <w:szCs w:val="24"/>
              </w:rPr>
              <w:t>2.有明确详尽的安全管理体系的，且实际可行的与本项目特征相符，有针对性，得6-10分。</w:t>
            </w:r>
          </w:p>
        </w:tc>
        <w:tc>
          <w:tcPr>
            <w:tcW w:w="3210" w:type="dxa"/>
            <w:noWrap/>
            <w:vAlign w:val="center"/>
          </w:tcPr>
          <w:p>
            <w:pPr>
              <w:adjustRightInd/>
              <w:snapToGrid w:val="0"/>
              <w:spacing w:line="400" w:lineRule="exact"/>
              <w:jc w:val="center"/>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检测方案</w:t>
            </w:r>
          </w:p>
        </w:tc>
        <w:tc>
          <w:tcPr>
            <w:tcW w:w="1140" w:type="dxa"/>
            <w:noWrap/>
            <w:vAlign w:val="center"/>
          </w:tcPr>
          <w:p>
            <w:pPr>
              <w:adjustRightInd/>
              <w:spacing w:line="400" w:lineRule="exact"/>
              <w:jc w:val="center"/>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1635" w:type="dxa"/>
            <w:noWrap/>
            <w:vAlign w:val="center"/>
          </w:tcPr>
          <w:p>
            <w:pPr>
              <w:adjustRightInd/>
              <w:spacing w:line="400" w:lineRule="exact"/>
              <w:jc w:val="center"/>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质量管理体系及保证措施</w:t>
            </w:r>
          </w:p>
        </w:tc>
        <w:tc>
          <w:tcPr>
            <w:tcW w:w="4185" w:type="dxa"/>
            <w:noWrap/>
            <w:vAlign w:val="center"/>
          </w:tcPr>
          <w:p>
            <w:pPr>
              <w:adjustRightInd/>
              <w:spacing w:line="400" w:lineRule="exact"/>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1.有明确的质量管理体系，措施安排合</w:t>
            </w:r>
            <w:r>
              <w:rPr>
                <w:rFonts w:hint="eastAsia" w:asciiTheme="minorEastAsia" w:hAnsiTheme="minorEastAsia" w:eastAsiaTheme="minorEastAsia" w:cstheme="minorEastAsia"/>
                <w:color w:val="auto"/>
                <w:kern w:val="2"/>
                <w:sz w:val="24"/>
                <w:szCs w:val="24"/>
                <w:lang w:eastAsia="zh-CN"/>
              </w:rPr>
              <w:t>理</w:t>
            </w:r>
            <w:r>
              <w:rPr>
                <w:rFonts w:hint="eastAsia" w:asciiTheme="minorEastAsia" w:hAnsiTheme="minorEastAsia" w:eastAsiaTheme="minorEastAsia" w:cstheme="minorEastAsia"/>
                <w:color w:val="auto"/>
                <w:kern w:val="2"/>
                <w:sz w:val="24"/>
                <w:szCs w:val="24"/>
              </w:rPr>
              <w:t>得0-5分；</w:t>
            </w:r>
          </w:p>
          <w:p>
            <w:pPr>
              <w:adjustRightInd/>
              <w:spacing w:line="400" w:lineRule="exact"/>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2.有明确的质量管理体系，措施安排合理、完善且能满足本项目检测成果要求的，与本项目特征相符，有针对性，得6-10分。</w:t>
            </w:r>
          </w:p>
        </w:tc>
        <w:tc>
          <w:tcPr>
            <w:tcW w:w="3210" w:type="dxa"/>
            <w:noWrap/>
            <w:vAlign w:val="center"/>
          </w:tcPr>
          <w:p>
            <w:pPr>
              <w:adjustRightInd/>
              <w:snapToGrid w:val="0"/>
              <w:spacing w:line="400" w:lineRule="exact"/>
              <w:jc w:val="center"/>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检测方案</w:t>
            </w:r>
          </w:p>
        </w:tc>
        <w:tc>
          <w:tcPr>
            <w:tcW w:w="1140" w:type="dxa"/>
            <w:noWrap/>
            <w:vAlign w:val="center"/>
          </w:tcPr>
          <w:p>
            <w:pPr>
              <w:adjustRightInd/>
              <w:spacing w:line="400" w:lineRule="exact"/>
              <w:jc w:val="center"/>
              <w:textAlignment w:val="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1635" w:type="dxa"/>
            <w:noWrap/>
            <w:vAlign w:val="center"/>
          </w:tcPr>
          <w:p>
            <w:pPr>
              <w:spacing w:line="240" w:lineRule="auto"/>
              <w:jc w:val="center"/>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拟投入本项目的检测设备</w:t>
            </w:r>
          </w:p>
        </w:tc>
        <w:tc>
          <w:tcPr>
            <w:tcW w:w="4185" w:type="dxa"/>
            <w:noWrap/>
            <w:vAlign w:val="center"/>
          </w:tcPr>
          <w:p>
            <w:pPr>
              <w:spacing w:line="24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设备满足检测和工期需要，并且全部设备属于自有，与投入人员相匹配，得6分；</w:t>
            </w:r>
          </w:p>
          <w:p>
            <w:pPr>
              <w:spacing w:line="240" w:lineRule="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在此基础上，每增加一套检测设备加2分，4分封顶。</w:t>
            </w:r>
          </w:p>
        </w:tc>
        <w:tc>
          <w:tcPr>
            <w:tcW w:w="3210" w:type="dxa"/>
            <w:noWrap/>
            <w:vAlign w:val="center"/>
          </w:tcPr>
          <w:p>
            <w:pPr>
              <w:snapToGrid w:val="0"/>
              <w:spacing w:line="240" w:lineRule="auto"/>
              <w:jc w:val="left"/>
              <w:rPr>
                <w:rFonts w:asciiTheme="minorEastAsia" w:hAnsiTheme="minorEastAsia" w:eastAsiaTheme="minorEastAsia" w:cstheme="minorEastAsia"/>
                <w:color w:val="auto"/>
                <w:kern w:val="2"/>
                <w:sz w:val="24"/>
                <w:szCs w:val="24"/>
                <w:highlight w:val="yellow"/>
              </w:rPr>
            </w:pPr>
            <w:r>
              <w:rPr>
                <w:rFonts w:hint="eastAsia" w:asciiTheme="minorEastAsia" w:hAnsiTheme="minorEastAsia" w:eastAsiaTheme="minorEastAsia" w:cstheme="minorEastAsia"/>
                <w:color w:val="auto"/>
                <w:sz w:val="24"/>
                <w:szCs w:val="24"/>
              </w:rPr>
              <w:t>拟投入检测仪器设备表（附表一）</w:t>
            </w:r>
            <w:r>
              <w:rPr>
                <w:rFonts w:hint="eastAsia" w:asciiTheme="minorEastAsia" w:hAnsiTheme="minorEastAsia" w:eastAsiaTheme="minorEastAsia" w:cstheme="minorEastAsia"/>
                <w:bCs/>
                <w:color w:val="auto"/>
                <w:sz w:val="24"/>
                <w:szCs w:val="24"/>
              </w:rPr>
              <w:t>（设备需提供本单位有效期内的仪器检定校准证书及提供的加盖单位公章原始发票复印件）</w:t>
            </w:r>
          </w:p>
        </w:tc>
        <w:tc>
          <w:tcPr>
            <w:tcW w:w="1140" w:type="dxa"/>
            <w:noWrap/>
            <w:vAlign w:val="center"/>
          </w:tcPr>
          <w:p>
            <w:pPr>
              <w:spacing w:line="240" w:lineRule="auto"/>
              <w:jc w:val="center"/>
              <w:rPr>
                <w:rFonts w:asciiTheme="minorEastAsia" w:hAnsiTheme="minorEastAsia" w:eastAsiaTheme="minorEastAsia" w:cstheme="minorEastAsia"/>
                <w:color w:val="auto"/>
                <w:kern w:val="2"/>
                <w:sz w:val="24"/>
                <w:szCs w:val="24"/>
                <w:highlight w:val="yellow"/>
              </w:rPr>
            </w:pPr>
            <w:r>
              <w:rPr>
                <w:rFonts w:hint="eastAsia" w:asciiTheme="minorEastAsia" w:hAnsiTheme="minorEastAsia" w:eastAsiaTheme="minorEastAsia" w:cstheme="minorEastAsia"/>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0" w:type="dxa"/>
            <w:gridSpan w:val="4"/>
            <w:noWrap/>
            <w:vAlign w:val="center"/>
          </w:tcPr>
          <w:p>
            <w:pPr>
              <w:spacing w:line="400" w:lineRule="exact"/>
              <w:jc w:val="center"/>
              <w:rPr>
                <w:color w:val="auto"/>
                <w:kern w:val="2"/>
                <w:sz w:val="24"/>
                <w:szCs w:val="24"/>
              </w:rPr>
            </w:pPr>
            <w:r>
              <w:rPr>
                <w:rFonts w:hint="eastAsia" w:ascii="宋体" w:hAnsi="宋体" w:cs="宋体"/>
                <w:b/>
                <w:color w:val="auto"/>
                <w:sz w:val="24"/>
                <w:szCs w:val="24"/>
              </w:rPr>
              <w:t>商务评议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35" w:type="dxa"/>
            <w:noWrap/>
            <w:vAlign w:val="center"/>
          </w:tcPr>
          <w:p>
            <w:pPr>
              <w:snapToGrid w:val="0"/>
              <w:spacing w:line="300" w:lineRule="auto"/>
              <w:ind w:right="-108"/>
              <w:jc w:val="center"/>
              <w:rPr>
                <w:color w:val="auto"/>
                <w:kern w:val="2"/>
                <w:sz w:val="24"/>
                <w:szCs w:val="24"/>
              </w:rPr>
            </w:pPr>
            <w:r>
              <w:rPr>
                <w:rFonts w:hint="eastAsia" w:ascii="宋体" w:hAnsi="宋体" w:cs="宋体"/>
                <w:b/>
                <w:color w:val="auto"/>
                <w:sz w:val="24"/>
                <w:szCs w:val="24"/>
              </w:rPr>
              <w:t>评分项目</w:t>
            </w:r>
          </w:p>
        </w:tc>
        <w:tc>
          <w:tcPr>
            <w:tcW w:w="4185" w:type="dxa"/>
            <w:noWrap/>
            <w:vAlign w:val="center"/>
          </w:tcPr>
          <w:p>
            <w:pPr>
              <w:snapToGrid w:val="0"/>
              <w:spacing w:line="300" w:lineRule="auto"/>
              <w:ind w:right="-108"/>
              <w:jc w:val="center"/>
              <w:rPr>
                <w:color w:val="auto"/>
                <w:kern w:val="2"/>
                <w:sz w:val="24"/>
                <w:szCs w:val="24"/>
              </w:rPr>
            </w:pPr>
            <w:r>
              <w:rPr>
                <w:rFonts w:hint="eastAsia" w:ascii="宋体" w:hAnsi="宋体" w:cs="宋体"/>
                <w:b/>
                <w:color w:val="auto"/>
                <w:sz w:val="24"/>
                <w:szCs w:val="24"/>
              </w:rPr>
              <w:t>详细内容</w:t>
            </w:r>
          </w:p>
        </w:tc>
        <w:tc>
          <w:tcPr>
            <w:tcW w:w="3210" w:type="dxa"/>
            <w:noWrap/>
            <w:vAlign w:val="center"/>
          </w:tcPr>
          <w:p>
            <w:pPr>
              <w:snapToGrid w:val="0"/>
              <w:spacing w:line="300" w:lineRule="auto"/>
              <w:ind w:left="-107" w:leftChars="-51" w:right="-108"/>
              <w:jc w:val="center"/>
              <w:rPr>
                <w:color w:val="auto"/>
                <w:kern w:val="2"/>
                <w:sz w:val="24"/>
                <w:szCs w:val="24"/>
              </w:rPr>
            </w:pPr>
            <w:r>
              <w:rPr>
                <w:rFonts w:hint="eastAsia" w:ascii="宋体" w:hAnsi="宋体" w:cs="宋体"/>
                <w:b/>
                <w:color w:val="auto"/>
                <w:sz w:val="24"/>
                <w:szCs w:val="24"/>
              </w:rPr>
              <w:t>评审依据</w:t>
            </w:r>
          </w:p>
        </w:tc>
        <w:tc>
          <w:tcPr>
            <w:tcW w:w="1140" w:type="dxa"/>
            <w:noWrap/>
            <w:vAlign w:val="center"/>
          </w:tcPr>
          <w:p>
            <w:pPr>
              <w:snapToGrid w:val="0"/>
              <w:spacing w:line="300" w:lineRule="auto"/>
              <w:ind w:left="-107" w:leftChars="-51" w:right="-108"/>
              <w:jc w:val="center"/>
              <w:rPr>
                <w:color w:val="auto"/>
                <w:kern w:val="2"/>
                <w:szCs w:val="21"/>
              </w:rPr>
            </w:pPr>
            <w:r>
              <w:rPr>
                <w:rFonts w:hint="eastAsia" w:ascii="宋体" w:hAnsi="宋体" w:cs="宋体"/>
                <w:b/>
                <w:color w:val="auto"/>
                <w:szCs w:val="21"/>
              </w:rPr>
              <w:t>分值（总分40分）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trPr>
        <w:tc>
          <w:tcPr>
            <w:tcW w:w="1635" w:type="dxa"/>
            <w:noWrap/>
            <w:vAlign w:val="center"/>
          </w:tcPr>
          <w:p>
            <w:pPr>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项目人员</w:t>
            </w:r>
          </w:p>
          <w:p>
            <w:pPr>
              <w:snapToGrid w:val="0"/>
              <w:spacing w:line="300" w:lineRule="auto"/>
              <w:jc w:val="center"/>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配备</w:t>
            </w:r>
          </w:p>
        </w:tc>
        <w:tc>
          <w:tcPr>
            <w:tcW w:w="4185" w:type="dxa"/>
            <w:noWrap/>
            <w:vAlign w:val="center"/>
          </w:tcPr>
          <w:p>
            <w:pPr>
              <w:numPr>
                <w:ilvl w:val="0"/>
                <w:numId w:val="1"/>
              </w:numPr>
              <w:spacing w:line="30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项目负责人为注册岩土工程师的得4分</w:t>
            </w:r>
          </w:p>
          <w:p>
            <w:pPr>
              <w:numPr>
                <w:ilvl w:val="0"/>
                <w:numId w:val="1"/>
              </w:numPr>
              <w:spacing w:line="30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项目组人员配备3人及以上的（不包含项目负责人）且取得地基基础工程检测岗位证书或资格证书得3分</w:t>
            </w:r>
          </w:p>
          <w:p>
            <w:pPr>
              <w:pStyle w:val="2"/>
              <w:ind w:firstLine="0" w:firstLine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3.项目组人员（不包含项目负责人）配备超过3人的，每增加1人（取得地基基础工程检测岗位证书或资格证书）加1分，3分封顶</w:t>
            </w:r>
          </w:p>
          <w:p>
            <w:pPr>
              <w:spacing w:line="300" w:lineRule="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注：以上人员均需出具公司缴纳社保证明，投入本项目人员须为投标人的本单位员工（即证书上注册机构的名称应与投标人单位名称一致）</w:t>
            </w:r>
          </w:p>
        </w:tc>
        <w:tc>
          <w:tcPr>
            <w:tcW w:w="3210" w:type="dxa"/>
            <w:noWrap/>
            <w:vAlign w:val="center"/>
          </w:tcPr>
          <w:p>
            <w:pPr>
              <w:snapToGrid w:val="0"/>
              <w:spacing w:line="300" w:lineRule="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凭</w:t>
            </w:r>
            <w:r>
              <w:rPr>
                <w:rFonts w:hint="eastAsia" w:asciiTheme="minorEastAsia" w:hAnsiTheme="minorEastAsia" w:eastAsiaTheme="minorEastAsia" w:cstheme="minorEastAsia"/>
                <w:bCs/>
                <w:color w:val="auto"/>
                <w:sz w:val="24"/>
                <w:szCs w:val="24"/>
              </w:rPr>
              <w:t>注册证书及职称证的原件与投标文件中复印件一致评审；</w:t>
            </w:r>
            <w:r>
              <w:rPr>
                <w:rFonts w:hint="eastAsia" w:asciiTheme="minorEastAsia" w:hAnsiTheme="minorEastAsia" w:eastAsiaTheme="minorEastAsia" w:cstheme="minorEastAsia"/>
                <w:color w:val="auto"/>
                <w:sz w:val="24"/>
                <w:szCs w:val="24"/>
              </w:rPr>
              <w:t>有效的《建设工程质量检测人员考核合格证书》原件和由社保部门出具在本单位的开标当月前六个月中任意一个月的社会基本养老保险并正常缴费的证明材料原件(各投标单位提供当地社保部门官网打印的社保证明且证明上有社保单位出具的电子专用章并加盖投标单位公章符合评审要求，可视为原件)；</w:t>
            </w:r>
          </w:p>
        </w:tc>
        <w:tc>
          <w:tcPr>
            <w:tcW w:w="1140" w:type="dxa"/>
            <w:noWrap/>
            <w:vAlign w:val="center"/>
          </w:tcPr>
          <w:p>
            <w:pPr>
              <w:snapToGrid w:val="0"/>
              <w:spacing w:line="300" w:lineRule="auto"/>
              <w:jc w:val="center"/>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1635" w:type="dxa"/>
            <w:noWrap/>
            <w:vAlign w:val="center"/>
          </w:tcPr>
          <w:p>
            <w:pPr>
              <w:snapToGrid w:val="0"/>
              <w:spacing w:line="300" w:lineRule="auto"/>
              <w:jc w:val="center"/>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企业业绩</w:t>
            </w:r>
          </w:p>
        </w:tc>
        <w:tc>
          <w:tcPr>
            <w:tcW w:w="4185" w:type="dxa"/>
            <w:noWrap/>
            <w:vAlign w:val="center"/>
          </w:tcPr>
          <w:p>
            <w:pPr>
              <w:snapToGrid w:val="0"/>
              <w:spacing w:line="300" w:lineRule="auto"/>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1.投标人2018年11月1日期至投标截止时间（以检测报告时间为准）具有相似桩基检测业绩的，按以下方法计分：合同金额达到40万及以上的相似桩基检测业绩的，每个业绩得10分；2.上述业绩中，只对3项业绩评审，最多提供3项业绩，满分30分；</w:t>
            </w:r>
          </w:p>
        </w:tc>
        <w:tc>
          <w:tcPr>
            <w:tcW w:w="3210" w:type="dxa"/>
            <w:noWrap/>
            <w:vAlign w:val="center"/>
          </w:tcPr>
          <w:p>
            <w:pPr>
              <w:spacing w:line="30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须同时提供以下证明材料原件进行查验：</w:t>
            </w:r>
          </w:p>
          <w:p>
            <w:pPr>
              <w:spacing w:line="30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1、业绩合同；</w:t>
            </w:r>
          </w:p>
          <w:p>
            <w:pPr>
              <w:spacing w:line="30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2、加盖了计量认证章的相似桩基检测报告；</w:t>
            </w:r>
          </w:p>
          <w:p>
            <w:pPr>
              <w:snapToGrid w:val="0"/>
              <w:spacing w:line="300" w:lineRule="auto"/>
              <w:jc w:val="left"/>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注：如以上材料无法体现业绩要求的须提供业主证明文件原件业主联系人及联系方式。</w:t>
            </w:r>
          </w:p>
        </w:tc>
        <w:tc>
          <w:tcPr>
            <w:tcW w:w="1140" w:type="dxa"/>
            <w:noWrap/>
            <w:vAlign w:val="center"/>
          </w:tcPr>
          <w:p>
            <w:pPr>
              <w:snapToGrid w:val="0"/>
              <w:spacing w:line="300" w:lineRule="auto"/>
              <w:jc w:val="center"/>
              <w:rPr>
                <w:rFonts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30分</w:t>
            </w:r>
          </w:p>
        </w:tc>
      </w:tr>
      <w:bookmarkEnd w:id="6"/>
      <w:bookmarkEnd w:id="7"/>
    </w:tbl>
    <w:p>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D318E"/>
    <w:multiLevelType w:val="singleLevel"/>
    <w:tmpl w:val="B32D318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A36A9"/>
    <w:rsid w:val="116A36A9"/>
    <w:rsid w:val="3EAB3C0D"/>
    <w:rsid w:val="4D607034"/>
    <w:rsid w:val="651C0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2"/>
    <w:basedOn w:val="1"/>
    <w:next w:val="1"/>
    <w:qFormat/>
    <w:uiPriority w:val="0"/>
    <w:pPr>
      <w:keepNext/>
      <w:keepLines/>
      <w:adjustRightInd/>
      <w:spacing w:before="260" w:after="260" w:line="415" w:lineRule="auto"/>
      <w:textAlignment w:val="auto"/>
      <w:outlineLvl w:val="1"/>
    </w:pPr>
    <w:rPr>
      <w:rFonts w:ascii="Arial" w:hAnsi="Arial" w:eastAsia="黑体"/>
      <w:b/>
      <w:kern w:val="2"/>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spacing w:after="120" w:line="240" w:lineRule="auto"/>
      <w:ind w:firstLine="420" w:firstLineChars="100"/>
      <w:jc w:val="left"/>
      <w:textAlignment w:val="baseline"/>
    </w:pPr>
    <w:rPr>
      <w:rFonts w:ascii="宋体"/>
      <w:sz w:val="34"/>
    </w:rPr>
  </w:style>
  <w:style w:type="paragraph" w:styleId="3">
    <w:name w:val="Body Text"/>
    <w:basedOn w:val="1"/>
    <w:qFormat/>
    <w:uiPriority w:val="0"/>
    <w:pPr>
      <w:spacing w:line="620" w:lineRule="atLeast"/>
      <w:textAlignment w:val="auto"/>
    </w:pPr>
    <w:rPr>
      <w:sz w:val="28"/>
    </w:rPr>
  </w:style>
  <w:style w:type="paragraph" w:styleId="5">
    <w:name w:val="Title"/>
    <w:basedOn w:val="1"/>
    <w:next w:val="1"/>
    <w:qFormat/>
    <w:uiPriority w:val="0"/>
    <w:pPr>
      <w:spacing w:before="240" w:after="60" w:line="416" w:lineRule="auto"/>
      <w:jc w:val="center"/>
      <w:outlineLvl w:val="0"/>
    </w:pPr>
    <w:rPr>
      <w:rFonts w:ascii="Cambria" w:hAnsi="Cambria"/>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2021-12-02T01:58:00Z</dcterms:created>
  <dc:creator>admin</dc:creator>
  <cp:lastModifiedBy>admin</cp:lastModifiedBy>
  <cp:lastPrinted>2021-12-02T02:36:31Z</cp:lastPrinted>
  <dcterms:modified xsi:type="dcterms:W3CDTF">2021-12-02T03:14:51Z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AD58ACDDF76649DF9D24D4C9C3516D81</vt:lpwstr>
  </property>
</Properties>
</file>