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jc w:val="center"/>
        <w:rPr>
          <w:rFonts w:ascii="微软雅黑" w:hAnsi="微软雅黑" w:eastAsia="微软雅黑" w:cs="微软雅黑"/>
          <w:color w:val="auto"/>
          <w:sz w:val="36"/>
          <w:szCs w:val="36"/>
          <w:shd w:val="clear" w:color="auto" w:fill="FFFFFF"/>
        </w:rPr>
      </w:pPr>
      <w:r>
        <w:rPr>
          <w:rFonts w:hint="eastAsia" w:ascii="微软雅黑" w:hAnsi="微软雅黑" w:eastAsia="微软雅黑" w:cs="微软雅黑"/>
          <w:color w:val="auto"/>
          <w:sz w:val="44"/>
          <w:szCs w:val="44"/>
          <w:shd w:val="clear" w:color="auto" w:fill="FFFFFF"/>
        </w:rPr>
        <w:t>凤凰洲体育公园项目设计比选文件</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rPr>
          <w:rFonts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一、项目名称：</w:t>
      </w:r>
      <w:r>
        <w:rPr>
          <w:rFonts w:hint="eastAsia" w:ascii="仿宋" w:hAnsi="仿宋" w:eastAsia="仿宋" w:cs="仿宋"/>
          <w:color w:val="auto"/>
          <w:sz w:val="32"/>
          <w:szCs w:val="32"/>
          <w:shd w:val="clear" w:color="auto" w:fill="FFFFFF"/>
        </w:rPr>
        <w:t>凤凰洲体育公园项目设计</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rPr>
          <w:rFonts w:ascii="仿宋" w:hAnsi="仿宋" w:eastAsia="仿宋" w:cs="仿宋"/>
          <w:color w:val="auto"/>
          <w:sz w:val="32"/>
          <w:szCs w:val="32"/>
        </w:rPr>
      </w:pPr>
      <w:r>
        <w:rPr>
          <w:rFonts w:hint="eastAsia" w:ascii="仿宋" w:hAnsi="仿宋" w:eastAsia="仿宋" w:cs="仿宋"/>
          <w:b/>
          <w:bCs/>
          <w:color w:val="auto"/>
          <w:sz w:val="32"/>
          <w:szCs w:val="32"/>
          <w:shd w:val="clear" w:color="auto" w:fill="FFFFFF"/>
        </w:rPr>
        <w:t>二、项目地点：</w:t>
      </w:r>
      <w:r>
        <w:rPr>
          <w:rFonts w:hint="eastAsia" w:ascii="仿宋" w:hAnsi="仿宋" w:eastAsia="仿宋" w:cs="仿宋"/>
          <w:color w:val="auto"/>
          <w:sz w:val="32"/>
          <w:szCs w:val="32"/>
          <w:shd w:val="clear" w:color="auto" w:fill="FFFFFF"/>
        </w:rPr>
        <w:t>红谷滩凤凰洲经开北大道</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rPr>
          <w:rFonts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三、招标控制价：</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1、本项目设定的设计费招标控制总价为人民币</w:t>
      </w:r>
      <w:r>
        <w:rPr>
          <w:rFonts w:ascii="仿宋" w:hAnsi="仿宋" w:eastAsia="仿宋" w:cs="仿宋"/>
          <w:color w:val="auto"/>
          <w:sz w:val="32"/>
          <w:szCs w:val="32"/>
          <w:shd w:val="clear" w:color="auto" w:fill="FFFFFF"/>
        </w:rPr>
        <w:t>33293</w:t>
      </w:r>
      <w:r>
        <w:rPr>
          <w:rFonts w:hint="eastAsia" w:ascii="仿宋" w:hAnsi="仿宋" w:eastAsia="仿宋" w:cs="仿宋"/>
          <w:color w:val="auto"/>
          <w:sz w:val="32"/>
          <w:szCs w:val="32"/>
          <w:shd w:val="clear" w:color="auto" w:fill="FFFFFF"/>
        </w:rPr>
        <w:t>0元。最终计费基数按实际预算建安费金额作为调整依据，按国家标准基础上计4折乘以中标折扣率计取（中标折扣率=中标总价/招标控制价）。</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2、投标人投标报价不得超过招标控制总价，否则按废标处理。</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rPr>
          <w:rFonts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四、评审方法：</w:t>
      </w:r>
      <w:r>
        <w:rPr>
          <w:rFonts w:hint="eastAsia" w:ascii="仿宋" w:hAnsi="仿宋" w:eastAsia="仿宋" w:cs="仿宋"/>
          <w:color w:val="auto"/>
          <w:sz w:val="32"/>
          <w:szCs w:val="32"/>
          <w:shd w:val="clear" w:color="auto" w:fill="FFFFFF"/>
        </w:rPr>
        <w:t>综合评分法，是指评标委员会将按照规定,对满足招标文件全部实质性要求的投标文件进行评价和比较，且按照评审因素的量化指标评审得分最高的投标人为中标候选人的评标方法。</w:t>
      </w:r>
    </w:p>
    <w:p>
      <w:pPr>
        <w:keepNext w:val="0"/>
        <w:keepLines w:val="0"/>
        <w:pageBreakBefore w:val="0"/>
        <w:kinsoku/>
        <w:wordWrap/>
        <w:overflowPunct/>
        <w:topLinePunct w:val="0"/>
        <w:bidi w:val="0"/>
        <w:snapToGrid/>
        <w:spacing w:line="560" w:lineRule="exact"/>
        <w:rPr>
          <w:rFonts w:ascii="仿宋" w:hAnsi="仿宋" w:eastAsia="仿宋" w:cs="仿宋"/>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五、评分细则：</w:t>
      </w:r>
      <w:r>
        <w:rPr>
          <w:rFonts w:hint="eastAsia" w:ascii="仿宋" w:hAnsi="仿宋" w:eastAsia="仿宋" w:cs="仿宋"/>
          <w:color w:val="auto"/>
          <w:kern w:val="0"/>
          <w:sz w:val="32"/>
          <w:szCs w:val="32"/>
          <w:shd w:val="clear" w:color="auto" w:fill="FFFFFF"/>
        </w:rPr>
        <w:t xml:space="preserve"> 报价部分（35分）、商务部分（25分），技术部分40分，</w:t>
      </w:r>
    </w:p>
    <w:p>
      <w:pPr>
        <w:keepNext w:val="0"/>
        <w:keepLines w:val="0"/>
        <w:pageBreakBefore w:val="0"/>
        <w:kinsoku/>
        <w:wordWrap/>
        <w:overflowPunct/>
        <w:topLinePunct w:val="0"/>
        <w:bidi w:val="0"/>
        <w:adjustRightInd w:val="0"/>
        <w:snapToGrid/>
        <w:spacing w:line="560" w:lineRule="exact"/>
        <w:ind w:firstLine="643" w:firstLineChars="200"/>
        <w:jc w:val="left"/>
        <w:textAlignment w:val="baseline"/>
        <w:rPr>
          <w:rFonts w:ascii="仿宋" w:hAnsi="仿宋" w:eastAsia="仿宋" w:cs="仿宋"/>
          <w:b/>
          <w:color w:val="auto"/>
          <w:kern w:val="0"/>
          <w:sz w:val="32"/>
          <w:szCs w:val="32"/>
          <w:shd w:val="clear" w:color="auto" w:fill="FFFFFF"/>
        </w:rPr>
      </w:pPr>
      <w:r>
        <w:rPr>
          <w:rFonts w:hint="eastAsia" w:ascii="仿宋" w:hAnsi="仿宋" w:eastAsia="仿宋" w:cs="仿宋"/>
          <w:b/>
          <w:color w:val="auto"/>
          <w:kern w:val="0"/>
          <w:sz w:val="32"/>
          <w:szCs w:val="32"/>
          <w:shd w:val="clear" w:color="auto" w:fill="FFFFFF"/>
        </w:rPr>
        <w:t>1、报价部分</w:t>
      </w:r>
      <w:r>
        <w:rPr>
          <w:rFonts w:hint="eastAsia" w:ascii="仿宋" w:hAnsi="仿宋" w:eastAsia="仿宋" w:cs="仿宋"/>
          <w:color w:val="auto"/>
          <w:kern w:val="0"/>
          <w:sz w:val="32"/>
          <w:szCs w:val="32"/>
          <w:shd w:val="clear" w:color="auto" w:fill="FFFFFF"/>
        </w:rPr>
        <w:t>（35分）</w:t>
      </w:r>
      <w:r>
        <w:rPr>
          <w:rFonts w:hint="eastAsia" w:ascii="仿宋" w:hAnsi="仿宋" w:eastAsia="仿宋" w:cs="仿宋"/>
          <w:b/>
          <w:color w:val="auto"/>
          <w:kern w:val="0"/>
          <w:sz w:val="32"/>
          <w:szCs w:val="32"/>
          <w:shd w:val="clear" w:color="auto" w:fill="FFFFFF"/>
        </w:rPr>
        <w:t>：</w:t>
      </w:r>
    </w:p>
    <w:p>
      <w:pPr>
        <w:keepNext w:val="0"/>
        <w:keepLines w:val="0"/>
        <w:pageBreakBefore w:val="0"/>
        <w:kinsoku/>
        <w:wordWrap/>
        <w:overflowPunct/>
        <w:topLinePunct w:val="0"/>
        <w:bidi w:val="0"/>
        <w:adjustRightInd w:val="0"/>
        <w:snapToGrid/>
        <w:spacing w:line="560" w:lineRule="exact"/>
        <w:ind w:firstLine="640" w:firstLineChars="200"/>
        <w:jc w:val="left"/>
        <w:textAlignment w:val="baseline"/>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招标控制价为</w:t>
      </w:r>
      <w:r>
        <w:rPr>
          <w:rFonts w:ascii="仿宋" w:hAnsi="仿宋" w:eastAsia="仿宋" w:cs="仿宋"/>
          <w:color w:val="auto"/>
          <w:sz w:val="32"/>
          <w:szCs w:val="32"/>
          <w:shd w:val="clear" w:color="auto" w:fill="FFFFFF"/>
        </w:rPr>
        <w:t>33293</w:t>
      </w:r>
      <w:r>
        <w:rPr>
          <w:rFonts w:hint="eastAsia" w:ascii="仿宋" w:hAnsi="仿宋" w:eastAsia="仿宋" w:cs="仿宋"/>
          <w:color w:val="auto"/>
          <w:sz w:val="32"/>
          <w:szCs w:val="32"/>
          <w:shd w:val="clear" w:color="auto" w:fill="FFFFFF"/>
        </w:rPr>
        <w:t>0</w:t>
      </w:r>
      <w:r>
        <w:rPr>
          <w:rFonts w:hint="eastAsia" w:ascii="仿宋" w:hAnsi="仿宋" w:eastAsia="仿宋" w:cs="仿宋"/>
          <w:b/>
          <w:bCs/>
          <w:color w:val="auto"/>
          <w:kern w:val="0"/>
          <w:sz w:val="32"/>
          <w:szCs w:val="32"/>
          <w:shd w:val="clear" w:color="auto" w:fill="FFFFFF"/>
        </w:rPr>
        <w:t>元</w:t>
      </w:r>
      <w:r>
        <w:rPr>
          <w:rFonts w:hint="eastAsia" w:ascii="仿宋" w:hAnsi="仿宋" w:eastAsia="仿宋" w:cs="仿宋"/>
          <w:color w:val="auto"/>
          <w:kern w:val="0"/>
          <w:sz w:val="32"/>
          <w:szCs w:val="32"/>
          <w:shd w:val="clear" w:color="auto" w:fill="FFFFFF"/>
        </w:rPr>
        <w:t>，评审小组将按照规定,对满足招标文件全部实质性要求的投标报价进行评分，价格分采用低价优先法计算，即满足招标文件要求且投标价格最低的投标报价为评标基准价，其价格分为满分（35分）。其他投标人的价格分统一按下列公式计算：</w:t>
      </w:r>
    </w:p>
    <w:p>
      <w:pPr>
        <w:keepNext w:val="0"/>
        <w:keepLines w:val="0"/>
        <w:pageBreakBefore w:val="0"/>
        <w:kinsoku/>
        <w:wordWrap/>
        <w:overflowPunct/>
        <w:topLinePunct w:val="0"/>
        <w:bidi w:val="0"/>
        <w:adjustRightInd w:val="0"/>
        <w:snapToGrid/>
        <w:spacing w:line="560" w:lineRule="exact"/>
        <w:ind w:firstLine="640" w:firstLineChars="200"/>
        <w:jc w:val="left"/>
        <w:textAlignment w:val="baseline"/>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投标报价得分＝（评标基准价/投标报价）×35分。计算结果保留至小数点后两位。</w:t>
      </w:r>
    </w:p>
    <w:p>
      <w:pPr>
        <w:keepNext w:val="0"/>
        <w:keepLines w:val="0"/>
        <w:pageBreakBefore w:val="0"/>
        <w:kinsoku/>
        <w:wordWrap/>
        <w:overflowPunct/>
        <w:topLinePunct w:val="0"/>
        <w:bidi w:val="0"/>
        <w:adjustRightInd w:val="0"/>
        <w:snapToGrid/>
        <w:spacing w:line="560" w:lineRule="exact"/>
        <w:ind w:firstLine="640" w:firstLineChars="200"/>
        <w:jc w:val="left"/>
        <w:textAlignment w:val="baseline"/>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备注：投标总价不得超出招标控制价，否则按无效标处理；投标报价得分按投标总价考虑。</w:t>
      </w:r>
    </w:p>
    <w:p>
      <w:pPr>
        <w:keepNext w:val="0"/>
        <w:keepLines w:val="0"/>
        <w:pageBreakBefore w:val="0"/>
        <w:kinsoku/>
        <w:wordWrap/>
        <w:overflowPunct/>
        <w:topLinePunct w:val="0"/>
        <w:bidi w:val="0"/>
        <w:snapToGrid/>
        <w:spacing w:line="560" w:lineRule="exact"/>
        <w:ind w:firstLine="643" w:firstLineChars="200"/>
        <w:rPr>
          <w:rFonts w:ascii="仿宋" w:hAnsi="仿宋" w:eastAsia="仿宋" w:cs="仿宋"/>
          <w:b/>
          <w:color w:val="auto"/>
          <w:kern w:val="0"/>
          <w:sz w:val="32"/>
          <w:szCs w:val="32"/>
          <w:shd w:val="clear" w:color="auto" w:fill="FFFFFF"/>
        </w:rPr>
      </w:pPr>
      <w:r>
        <w:rPr>
          <w:rFonts w:hint="eastAsia" w:ascii="仿宋" w:hAnsi="仿宋" w:eastAsia="仿宋" w:cs="仿宋"/>
          <w:b/>
          <w:color w:val="auto"/>
          <w:kern w:val="0"/>
          <w:sz w:val="32"/>
          <w:szCs w:val="32"/>
          <w:shd w:val="clear" w:color="auto" w:fill="FFFFFF"/>
        </w:rPr>
        <w:t>2、商务部分</w:t>
      </w:r>
      <w:r>
        <w:rPr>
          <w:rFonts w:hint="eastAsia" w:ascii="仿宋" w:hAnsi="仿宋" w:eastAsia="仿宋" w:cs="仿宋"/>
          <w:color w:val="auto"/>
          <w:kern w:val="0"/>
          <w:sz w:val="32"/>
          <w:szCs w:val="32"/>
          <w:shd w:val="clear" w:color="auto" w:fill="FFFFFF"/>
        </w:rPr>
        <w:t>（25分）</w:t>
      </w:r>
      <w:r>
        <w:rPr>
          <w:rFonts w:hint="eastAsia" w:ascii="仿宋" w:hAnsi="仿宋" w:eastAsia="仿宋" w:cs="仿宋"/>
          <w:b/>
          <w:color w:val="auto"/>
          <w:kern w:val="0"/>
          <w:sz w:val="32"/>
          <w:szCs w:val="32"/>
          <w:shd w:val="clear" w:color="auto" w:fill="FFFFFF"/>
        </w:rPr>
        <w:t>：</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3" w:firstLineChars="200"/>
        <w:rPr>
          <w:rFonts w:ascii="仿宋" w:hAnsi="仿宋" w:eastAsia="仿宋" w:cs="仿宋"/>
          <w:b/>
          <w:bCs/>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（1）设计资质</w:t>
      </w:r>
      <w:r>
        <w:rPr>
          <w:rFonts w:ascii="仿宋" w:hAnsi="仿宋" w:eastAsia="仿宋" w:cs="仿宋"/>
          <w:b/>
          <w:bCs/>
          <w:color w:val="auto"/>
          <w:kern w:val="0"/>
          <w:sz w:val="32"/>
          <w:szCs w:val="32"/>
          <w:shd w:val="clear" w:color="auto" w:fill="FFFFFF"/>
        </w:rPr>
        <w:t>评分</w:t>
      </w:r>
      <w:r>
        <w:rPr>
          <w:rFonts w:hint="eastAsia" w:ascii="仿宋" w:hAnsi="仿宋" w:eastAsia="仿宋" w:cs="仿宋"/>
          <w:b/>
          <w:bCs/>
          <w:color w:val="auto"/>
          <w:kern w:val="0"/>
          <w:sz w:val="32"/>
          <w:szCs w:val="32"/>
          <w:shd w:val="clear" w:color="auto" w:fill="FFFFFF"/>
        </w:rPr>
        <w:t>：（5分）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1）具有建设行政主管部门颁发的工程设计综合甲级资质或工程设计建筑行业甲级资质或工程设计建筑行业（建筑工程）甲级资质或风景园林工程设计专项甲级资质证书</w:t>
      </w:r>
      <w:r>
        <w:rPr>
          <w:rFonts w:hint="eastAsia" w:ascii="仿宋" w:hAnsi="仿宋" w:eastAsia="仿宋" w:cs="仿宋"/>
          <w:color w:val="auto"/>
          <w:sz w:val="32"/>
          <w:szCs w:val="32"/>
          <w:shd w:val="clear" w:color="auto" w:fill="FFFFFF"/>
        </w:rPr>
        <w:t>（复印件加盖公章）得5分</w:t>
      </w:r>
      <w:r>
        <w:rPr>
          <w:rFonts w:hint="eastAsia" w:ascii="仿宋" w:hAnsi="仿宋" w:eastAsia="仿宋" w:cs="仿宋"/>
          <w:color w:val="auto"/>
          <w:kern w:val="0"/>
          <w:sz w:val="32"/>
          <w:szCs w:val="32"/>
          <w:shd w:val="clear" w:color="auto" w:fill="FFFFFF"/>
        </w:rPr>
        <w:t>；</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kern w:val="0"/>
          <w:sz w:val="32"/>
          <w:szCs w:val="32"/>
          <w:shd w:val="clear" w:color="auto" w:fill="FFFFFF"/>
        </w:rPr>
        <w:t>2）具有工程设计建筑行业乙级资质或工程设计建筑行业（建筑工程）乙级资质或风景园林工程设计专项乙级资质证书</w:t>
      </w:r>
      <w:r>
        <w:rPr>
          <w:rFonts w:hint="eastAsia" w:ascii="仿宋" w:hAnsi="仿宋" w:eastAsia="仿宋" w:cs="仿宋"/>
          <w:color w:val="auto"/>
          <w:sz w:val="32"/>
          <w:szCs w:val="32"/>
          <w:shd w:val="clear" w:color="auto" w:fill="FFFFFF"/>
        </w:rPr>
        <w:t xml:space="preserve">（复印件加盖公章）得3分。  </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color w:val="auto"/>
        </w:rPr>
      </w:pPr>
      <w:r>
        <w:rPr>
          <w:rFonts w:hint="eastAsia" w:ascii="仿宋" w:hAnsi="仿宋" w:eastAsia="仿宋" w:cs="仿宋"/>
          <w:color w:val="auto"/>
          <w:kern w:val="0"/>
          <w:sz w:val="32"/>
          <w:szCs w:val="32"/>
          <w:shd w:val="clear" w:color="auto" w:fill="FFFFFF"/>
        </w:rPr>
        <w:t>评审依据：提供相关证明材料，未提供或提供无效者得0分；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3" w:firstLineChars="200"/>
        <w:rPr>
          <w:rFonts w:ascii="仿宋" w:hAnsi="仿宋" w:eastAsia="仿宋" w:cs="仿宋"/>
          <w:b/>
          <w:bCs/>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（2）业绩</w:t>
      </w:r>
      <w:r>
        <w:rPr>
          <w:rFonts w:ascii="仿宋" w:hAnsi="仿宋" w:eastAsia="仿宋" w:cs="仿宋"/>
          <w:b/>
          <w:bCs/>
          <w:color w:val="auto"/>
          <w:kern w:val="0"/>
          <w:sz w:val="32"/>
          <w:szCs w:val="32"/>
          <w:shd w:val="clear" w:color="auto" w:fill="FFFFFF"/>
        </w:rPr>
        <w:t>评分</w:t>
      </w:r>
      <w:r>
        <w:rPr>
          <w:rFonts w:hint="eastAsia" w:ascii="仿宋" w:hAnsi="仿宋" w:eastAsia="仿宋" w:cs="仿宋"/>
          <w:b/>
          <w:bCs/>
          <w:color w:val="auto"/>
          <w:kern w:val="0"/>
          <w:sz w:val="32"/>
          <w:szCs w:val="32"/>
          <w:shd w:val="clear" w:color="auto" w:fill="FFFFFF"/>
        </w:rPr>
        <w:t>：（10分）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1）投标人提供近三年内类似项目设计业绩，每提供一个类似项目业绩得5分，满分10分。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2）未提供相关业绩证明材料得0分。 </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评审依据：提供相关业绩证明材料，未提供或提供无效者得0分；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3" w:firstLineChars="200"/>
        <w:rPr>
          <w:rFonts w:ascii="仿宋" w:hAnsi="仿宋" w:eastAsia="仿宋" w:cs="仿宋"/>
          <w:b/>
          <w:bCs/>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（3）设计工期</w:t>
      </w:r>
      <w:r>
        <w:rPr>
          <w:rFonts w:ascii="仿宋" w:hAnsi="仿宋" w:eastAsia="仿宋" w:cs="仿宋"/>
          <w:b/>
          <w:bCs/>
          <w:color w:val="auto"/>
          <w:kern w:val="0"/>
          <w:sz w:val="32"/>
          <w:szCs w:val="32"/>
          <w:shd w:val="clear" w:color="auto" w:fill="FFFFFF"/>
        </w:rPr>
        <w:t>评分</w:t>
      </w:r>
      <w:r>
        <w:rPr>
          <w:rFonts w:hint="eastAsia" w:ascii="仿宋" w:hAnsi="仿宋" w:eastAsia="仿宋" w:cs="仿宋"/>
          <w:b/>
          <w:bCs/>
          <w:color w:val="auto"/>
          <w:kern w:val="0"/>
          <w:sz w:val="32"/>
          <w:szCs w:val="32"/>
          <w:shd w:val="clear" w:color="auto" w:fill="FFFFFF"/>
        </w:rPr>
        <w:t>：（10分）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1）投标人针对本项目承诺15天内完成项目设计服务者得10分；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2）投标人针对本项目承诺15～20天内完成项目设计服务者得7分；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3）投标人针对本项目承诺30天内完成项目设计服务者得4分；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color w:val="auto"/>
        </w:rPr>
      </w:pPr>
      <w:r>
        <w:rPr>
          <w:rFonts w:hint="eastAsia" w:ascii="仿宋" w:hAnsi="仿宋" w:eastAsia="仿宋" w:cs="仿宋"/>
          <w:color w:val="auto"/>
          <w:kern w:val="0"/>
          <w:sz w:val="32"/>
          <w:szCs w:val="32"/>
          <w:shd w:val="clear" w:color="auto" w:fill="FFFFFF"/>
        </w:rPr>
        <w:t>4）投标人针对本项目承诺超过30天内完成项目设计服务者得0分；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评审依据：提供服务时间承诺函，未提供或提供无效者得0分。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321" w:firstLineChars="100"/>
        <w:rPr>
          <w:rFonts w:ascii="仿宋" w:hAnsi="仿宋" w:eastAsia="仿宋" w:cs="仿宋"/>
          <w:b/>
          <w:bCs/>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3、技术部分评分（40分）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jc w:val="center"/>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设计方案</w:t>
      </w:r>
      <w:r>
        <w:rPr>
          <w:rFonts w:ascii="仿宋" w:hAnsi="仿宋" w:eastAsia="仿宋" w:cs="仿宋"/>
          <w:color w:val="auto"/>
          <w:kern w:val="0"/>
          <w:sz w:val="32"/>
          <w:szCs w:val="32"/>
          <w:shd w:val="clear" w:color="auto" w:fill="FFFFFF"/>
        </w:rPr>
        <w:t>评分</w:t>
      </w:r>
      <w:r>
        <w:rPr>
          <w:rFonts w:hint="eastAsia" w:ascii="仿宋" w:hAnsi="仿宋" w:eastAsia="仿宋" w:cs="仿宋"/>
          <w:color w:val="auto"/>
          <w:kern w:val="0"/>
          <w:sz w:val="32"/>
          <w:szCs w:val="32"/>
          <w:shd w:val="clear" w:color="auto" w:fill="FFFFFF"/>
        </w:rPr>
        <w:t>表</w:t>
      </w:r>
    </w:p>
    <w:tbl>
      <w:tblPr>
        <w:tblStyle w:val="7"/>
        <w:tblW w:w="877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8"/>
        <w:gridCol w:w="718"/>
        <w:gridCol w:w="80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exact"/>
        </w:trPr>
        <w:tc>
          <w:tcPr>
            <w:tcW w:w="6638" w:type="dxa"/>
            <w:vMerge w:val="restart"/>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440" w:firstLineChars="200"/>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各评审因素细分项</w:t>
            </w:r>
          </w:p>
        </w:tc>
        <w:tc>
          <w:tcPr>
            <w:tcW w:w="2141" w:type="dxa"/>
            <w:gridSpan w:val="3"/>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exact"/>
        </w:trPr>
        <w:tc>
          <w:tcPr>
            <w:tcW w:w="6638" w:type="dxa"/>
            <w:vMerge w:val="continue"/>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440" w:firstLineChars="200"/>
              <w:jc w:val="center"/>
              <w:rPr>
                <w:rFonts w:ascii="仿宋" w:hAnsi="仿宋" w:eastAsia="仿宋" w:cs="仿宋"/>
                <w:color w:val="auto"/>
                <w:kern w:val="0"/>
                <w:sz w:val="22"/>
                <w:szCs w:val="22"/>
                <w:shd w:val="clear" w:color="auto" w:fill="FFFFFF"/>
              </w:rPr>
            </w:pPr>
          </w:p>
        </w:tc>
        <w:tc>
          <w:tcPr>
            <w:tcW w:w="71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基本</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符合</w:t>
            </w:r>
          </w:p>
        </w:tc>
        <w:tc>
          <w:tcPr>
            <w:tcW w:w="805"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良好</w:t>
            </w:r>
          </w:p>
        </w:tc>
        <w:tc>
          <w:tcPr>
            <w:tcW w:w="61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exact"/>
        </w:trPr>
        <w:tc>
          <w:tcPr>
            <w:tcW w:w="663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场地现状分析。</w:t>
            </w:r>
          </w:p>
        </w:tc>
        <w:tc>
          <w:tcPr>
            <w:tcW w:w="71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3</w:t>
            </w:r>
          </w:p>
        </w:tc>
        <w:tc>
          <w:tcPr>
            <w:tcW w:w="805"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5</w:t>
            </w:r>
          </w:p>
        </w:tc>
        <w:tc>
          <w:tcPr>
            <w:tcW w:w="61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exact"/>
        </w:trPr>
        <w:tc>
          <w:tcPr>
            <w:tcW w:w="663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规划设计构思新颖，主题突出，符合国家发改社会【2021】1497号文件相应要求。</w:t>
            </w:r>
          </w:p>
        </w:tc>
        <w:tc>
          <w:tcPr>
            <w:tcW w:w="71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5</w:t>
            </w:r>
          </w:p>
        </w:tc>
        <w:tc>
          <w:tcPr>
            <w:tcW w:w="805"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7</w:t>
            </w:r>
          </w:p>
        </w:tc>
        <w:tc>
          <w:tcPr>
            <w:tcW w:w="61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exact"/>
        </w:trPr>
        <w:tc>
          <w:tcPr>
            <w:tcW w:w="663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规划设计内容完整全面；总体布局科学合理，提供相应的总体平面方案设计图。</w:t>
            </w:r>
          </w:p>
        </w:tc>
        <w:tc>
          <w:tcPr>
            <w:tcW w:w="71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9</w:t>
            </w:r>
          </w:p>
        </w:tc>
        <w:tc>
          <w:tcPr>
            <w:tcW w:w="805"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12</w:t>
            </w:r>
          </w:p>
        </w:tc>
        <w:tc>
          <w:tcPr>
            <w:tcW w:w="61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exact"/>
        </w:trPr>
        <w:tc>
          <w:tcPr>
            <w:tcW w:w="663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提供分区设计，组织规划，功能分析，重要节点的意向图、效果图等</w:t>
            </w:r>
          </w:p>
        </w:tc>
        <w:tc>
          <w:tcPr>
            <w:tcW w:w="71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5</w:t>
            </w:r>
          </w:p>
        </w:tc>
        <w:tc>
          <w:tcPr>
            <w:tcW w:w="805"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7</w:t>
            </w:r>
          </w:p>
        </w:tc>
        <w:tc>
          <w:tcPr>
            <w:tcW w:w="618" w:type="dxa"/>
            <w:vAlign w:val="center"/>
          </w:tcPr>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jc w:val="center"/>
              <w:rPr>
                <w:rFonts w:ascii="仿宋" w:hAnsi="仿宋" w:eastAsia="仿宋" w:cs="仿宋"/>
                <w:color w:val="auto"/>
                <w:kern w:val="0"/>
                <w:sz w:val="22"/>
                <w:szCs w:val="22"/>
                <w:shd w:val="clear" w:color="auto" w:fill="FFFFFF"/>
              </w:rPr>
            </w:pPr>
            <w:r>
              <w:rPr>
                <w:rFonts w:hint="eastAsia" w:ascii="仿宋" w:hAnsi="仿宋" w:eastAsia="仿宋" w:cs="仿宋"/>
                <w:color w:val="auto"/>
                <w:kern w:val="0"/>
                <w:sz w:val="22"/>
                <w:szCs w:val="22"/>
                <w:shd w:val="clear" w:color="auto" w:fill="FFFFFF"/>
              </w:rPr>
              <w:t>9</w:t>
            </w:r>
          </w:p>
        </w:tc>
      </w:tr>
    </w:tbl>
    <w:p>
      <w:pPr>
        <w:pStyle w:val="2"/>
        <w:keepNext w:val="0"/>
        <w:keepLines w:val="0"/>
        <w:pageBreakBefore w:val="0"/>
        <w:kinsoku/>
        <w:wordWrap/>
        <w:overflowPunct/>
        <w:topLinePunct w:val="0"/>
        <w:bidi w:val="0"/>
        <w:snapToGrid/>
        <w:spacing w:line="560" w:lineRule="exact"/>
        <w:rPr>
          <w:color w:val="auto"/>
        </w:rPr>
      </w:pP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643" w:firstLineChars="200"/>
        <w:rPr>
          <w:rFonts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评分说明：</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⑴计分方法采用四舍五入法，保留小数点后两位数。</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⑵招标人根据招标文件分别对每包投标人的投标文件中技术及商务响应情况进行评审；</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b/>
          <w:bCs/>
          <w:color w:val="auto"/>
          <w:sz w:val="32"/>
          <w:szCs w:val="32"/>
        </w:rPr>
      </w:pPr>
      <w:r>
        <w:rPr>
          <w:rFonts w:hint="eastAsia" w:ascii="仿宋" w:hAnsi="仿宋" w:eastAsia="仿宋" w:cs="仿宋"/>
          <w:b/>
          <w:bCs/>
          <w:color w:val="auto"/>
          <w:sz w:val="32"/>
          <w:szCs w:val="32"/>
          <w:shd w:val="clear" w:color="auto" w:fill="FFFFFF"/>
        </w:rPr>
        <w:t>六、投标文件组成（须按顺序装订</w:t>
      </w:r>
      <w:r>
        <w:rPr>
          <w:rFonts w:hint="eastAsia" w:ascii="仿宋" w:hAnsi="仿宋" w:eastAsia="仿宋" w:cs="仿宋"/>
          <w:b/>
          <w:bCs/>
          <w:color w:val="auto"/>
          <w:sz w:val="32"/>
          <w:szCs w:val="32"/>
          <w:shd w:val="clear" w:color="auto" w:fill="FFFFFF"/>
          <w:lang w:val="en-US" w:eastAsia="zh-CN"/>
        </w:rPr>
        <w:t>并</w:t>
      </w:r>
      <w:r>
        <w:rPr>
          <w:rFonts w:hint="eastAsia" w:ascii="仿宋" w:hAnsi="仿宋" w:eastAsia="仿宋" w:cs="仿宋"/>
          <w:b/>
          <w:bCs/>
          <w:color w:val="auto"/>
          <w:sz w:val="32"/>
          <w:szCs w:val="32"/>
          <w:shd w:val="clear" w:color="auto" w:fill="FFFFFF"/>
        </w:rPr>
        <w:t>密封</w:t>
      </w:r>
      <w:r>
        <w:rPr>
          <w:rFonts w:hint="eastAsia" w:ascii="仿宋" w:hAnsi="仿宋" w:eastAsia="仿宋" w:cs="仿宋"/>
          <w:b/>
          <w:bCs/>
          <w:color w:val="auto"/>
          <w:sz w:val="32"/>
          <w:szCs w:val="32"/>
          <w:shd w:val="clear" w:color="auto" w:fill="FFFFFF"/>
          <w:lang w:val="en-US" w:eastAsia="zh-CN"/>
        </w:rPr>
        <w:t>及签章</w:t>
      </w:r>
      <w:r>
        <w:rPr>
          <w:rFonts w:hint="eastAsia" w:ascii="仿宋" w:hAnsi="仿宋" w:eastAsia="仿宋" w:cs="仿宋"/>
          <w:b/>
          <w:bCs/>
          <w:color w:val="auto"/>
          <w:sz w:val="32"/>
          <w:szCs w:val="32"/>
          <w:shd w:val="clear" w:color="auto" w:fill="FFFFFF"/>
        </w:rPr>
        <w:t>）：</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资格评审材料：</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1、营业执照（复印件加盖公章）；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2、资质证明（复印件加盖公章）；</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3、外埠来赣设计单位证明材料（外埠来赣单位需提供）；</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4、项目</w:t>
      </w:r>
      <w:r>
        <w:rPr>
          <w:rFonts w:hint="eastAsia" w:ascii="仿宋" w:hAnsi="仿宋" w:eastAsia="仿宋" w:cs="仿宋"/>
          <w:color w:val="auto"/>
          <w:sz w:val="32"/>
          <w:szCs w:val="32"/>
          <w:shd w:val="clear" w:color="auto" w:fill="FFFFFF"/>
          <w:lang w:val="en-US" w:eastAsia="zh-CN"/>
        </w:rPr>
        <w:t>设计</w:t>
      </w:r>
      <w:r>
        <w:rPr>
          <w:rFonts w:hint="eastAsia" w:ascii="仿宋" w:hAnsi="仿宋" w:eastAsia="仿宋" w:cs="仿宋"/>
          <w:color w:val="auto"/>
          <w:sz w:val="32"/>
          <w:szCs w:val="32"/>
          <w:shd w:val="clear" w:color="auto" w:fill="FFFFFF"/>
        </w:rPr>
        <w:t>负责人</w:t>
      </w:r>
      <w:r>
        <w:rPr>
          <w:rFonts w:hint="eastAsia" w:ascii="仿宋" w:hAnsi="仿宋" w:eastAsia="仿宋" w:cs="仿宋"/>
          <w:color w:val="auto"/>
          <w:sz w:val="32"/>
          <w:szCs w:val="32"/>
          <w:shd w:val="clear" w:color="auto" w:fill="FFFFFF"/>
          <w:lang w:val="en-US" w:eastAsia="zh-CN"/>
        </w:rPr>
        <w:t>职称</w:t>
      </w:r>
      <w:r>
        <w:rPr>
          <w:rFonts w:hint="eastAsia" w:ascii="仿宋" w:hAnsi="仿宋" w:eastAsia="仿宋" w:cs="仿宋"/>
          <w:color w:val="auto"/>
          <w:sz w:val="32"/>
          <w:szCs w:val="32"/>
          <w:shd w:val="clear" w:color="auto" w:fill="FFFFFF"/>
        </w:rPr>
        <w:t>证书（复印件加盖公章）；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5、法人委托书（加盖公章）；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7、法人及委托人身份证复印件（加盖公章）；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技术评审材料：</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val="en-US" w:eastAsia="zh-CN"/>
        </w:rPr>
        <w:t>1、</w:t>
      </w:r>
      <w:r>
        <w:rPr>
          <w:rFonts w:hint="eastAsia" w:ascii="仿宋" w:hAnsi="仿宋" w:eastAsia="仿宋" w:cs="仿宋"/>
          <w:color w:val="auto"/>
          <w:sz w:val="32"/>
          <w:szCs w:val="32"/>
          <w:shd w:val="clear" w:color="auto" w:fill="FFFFFF"/>
        </w:rPr>
        <w:t>技术方案设计文本及图纸</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default"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val="en-US" w:eastAsia="zh-CN"/>
        </w:rPr>
        <w:t>商务评审材料：</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val="en-US" w:eastAsia="zh-CN"/>
        </w:rPr>
        <w:t>1</w:t>
      </w:r>
      <w:r>
        <w:rPr>
          <w:rFonts w:hint="eastAsia" w:ascii="仿宋" w:hAnsi="仿宋" w:eastAsia="仿宋" w:cs="仿宋"/>
          <w:color w:val="auto"/>
          <w:sz w:val="32"/>
          <w:szCs w:val="32"/>
          <w:shd w:val="clear" w:color="auto" w:fill="FFFFFF"/>
        </w:rPr>
        <w:t>、投标报价</w:t>
      </w:r>
      <w:r>
        <w:rPr>
          <w:rFonts w:hint="eastAsia" w:ascii="仿宋" w:hAnsi="仿宋" w:eastAsia="仿宋" w:cs="仿宋"/>
          <w:color w:val="auto"/>
          <w:sz w:val="32"/>
          <w:szCs w:val="32"/>
          <w:shd w:val="clear" w:color="auto" w:fill="FFFFFF"/>
          <w:lang w:val="en-US" w:eastAsia="zh-CN"/>
        </w:rPr>
        <w:t>函</w:t>
      </w:r>
      <w:r>
        <w:rPr>
          <w:rFonts w:hint="eastAsia" w:ascii="仿宋" w:hAnsi="仿宋" w:eastAsia="仿宋" w:cs="仿宋"/>
          <w:color w:val="auto"/>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类似业绩及相关证明材料；</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3、工期承诺函。</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default" w:ascii="仿宋" w:hAnsi="仿宋" w:eastAsia="仿宋" w:cs="仿宋"/>
          <w:color w:val="auto"/>
          <w:sz w:val="32"/>
          <w:szCs w:val="32"/>
          <w:shd w:val="clear" w:color="auto" w:fill="FFFFFF"/>
          <w:lang w:val="en-US" w:eastAsia="zh-CN"/>
        </w:rPr>
      </w:pPr>
      <w:r>
        <w:rPr>
          <w:rFonts w:hint="default" w:ascii="仿宋" w:hAnsi="仿宋" w:eastAsia="仿宋" w:cs="仿宋"/>
          <w:color w:val="auto"/>
          <w:sz w:val="32"/>
          <w:szCs w:val="32"/>
          <w:shd w:val="clear" w:color="auto" w:fill="FFFFFF"/>
          <w:lang w:val="en-US" w:eastAsia="zh-CN"/>
        </w:rPr>
        <w:t>投标单位认为需要提供的其他材料</w:t>
      </w:r>
      <w:r>
        <w:rPr>
          <w:rFonts w:hint="eastAsia" w:ascii="仿宋" w:hAnsi="仿宋" w:eastAsia="仿宋" w:cs="仿宋"/>
          <w:color w:val="auto"/>
          <w:sz w:val="32"/>
          <w:szCs w:val="32"/>
          <w:shd w:val="clear" w:color="auto" w:fill="FFFFFF"/>
          <w:lang w:val="en-US" w:eastAsia="zh-CN"/>
        </w:rPr>
        <w:t>。</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七、资格审查</w:t>
      </w:r>
      <w:r>
        <w:rPr>
          <w:rFonts w:hint="eastAsia" w:ascii="仿宋" w:hAnsi="仿宋" w:eastAsia="仿宋" w:cs="仿宋"/>
          <w:color w:val="auto"/>
          <w:sz w:val="32"/>
          <w:szCs w:val="32"/>
          <w:shd w:val="clear" w:color="auto" w:fill="FFFFFF"/>
        </w:rPr>
        <w:t>：□资格预审、</w:t>
      </w:r>
      <w:r>
        <w:rPr>
          <w:rFonts w:hint="eastAsia" w:ascii="仿宋" w:hAnsi="仿宋" w:eastAsia="仿宋" w:cs="仿宋"/>
          <w:color w:val="auto"/>
          <w:sz w:val="32"/>
          <w:szCs w:val="32"/>
          <w:shd w:val="clear" w:color="auto" w:fill="FFFFFF"/>
        </w:rPr>
        <w:sym w:font="Wingdings 2" w:char="0052"/>
      </w:r>
      <w:r>
        <w:rPr>
          <w:rFonts w:hint="eastAsia" w:ascii="仿宋" w:hAnsi="仿宋" w:eastAsia="仿宋" w:cs="仿宋"/>
          <w:color w:val="auto"/>
          <w:sz w:val="32"/>
          <w:szCs w:val="32"/>
          <w:shd w:val="clear" w:color="auto" w:fill="FFFFFF"/>
        </w:rPr>
        <w:t>资格后审</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b/>
          <w:bCs/>
          <w:color w:val="auto"/>
          <w:sz w:val="32"/>
          <w:szCs w:val="32"/>
        </w:rPr>
      </w:pPr>
      <w:r>
        <w:rPr>
          <w:rFonts w:hint="eastAsia" w:ascii="仿宋" w:hAnsi="仿宋" w:eastAsia="仿宋" w:cs="仿宋"/>
          <w:b/>
          <w:bCs/>
          <w:color w:val="auto"/>
          <w:sz w:val="32"/>
          <w:szCs w:val="32"/>
          <w:shd w:val="clear" w:color="auto" w:fill="FFFFFF"/>
        </w:rPr>
        <w:t>八、递交投标文件地点及开标时间  </w:t>
      </w:r>
      <w:bookmarkStart w:id="0" w:name="_GoBack"/>
      <w:bookmarkEnd w:id="0"/>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1、九龙湖龙兴大街699号南昌市红力建设工程管理有限公司会议室（龙兴大街安丰花园旁）；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w:t>
      </w:r>
      <w:r>
        <w:rPr>
          <w:rFonts w:hint="eastAsia" w:ascii="仿宋" w:hAnsi="仿宋" w:eastAsia="仿宋" w:cs="仿宋"/>
          <w:color w:val="auto"/>
          <w:sz w:val="32"/>
          <w:szCs w:val="32"/>
          <w:highlight w:val="none"/>
          <w:shd w:val="clear" w:color="auto" w:fill="FFFFFF"/>
        </w:rPr>
        <w:t>2022年 9月5日下午15：30</w:t>
      </w:r>
      <w:r>
        <w:rPr>
          <w:rFonts w:hint="eastAsia" w:ascii="仿宋" w:hAnsi="仿宋" w:eastAsia="仿宋" w:cs="仿宋"/>
          <w:color w:val="auto"/>
          <w:sz w:val="32"/>
          <w:szCs w:val="32"/>
          <w:shd w:val="clear" w:color="auto" w:fill="FFFFFF"/>
        </w:rPr>
        <w:t xml:space="preserve">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b/>
          <w:bCs/>
          <w:color w:val="auto"/>
          <w:sz w:val="32"/>
          <w:szCs w:val="32"/>
        </w:rPr>
      </w:pPr>
      <w:r>
        <w:rPr>
          <w:rFonts w:hint="eastAsia" w:ascii="仿宋" w:hAnsi="仿宋" w:eastAsia="仿宋" w:cs="仿宋"/>
          <w:b/>
          <w:bCs/>
          <w:color w:val="auto"/>
          <w:sz w:val="32"/>
          <w:szCs w:val="32"/>
          <w:shd w:val="clear" w:color="auto" w:fill="FFFFFF"/>
        </w:rPr>
        <w:t>九、联系方式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1、招标人：南昌市红力建设工程管理有限公司</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color w:val="auto"/>
          <w:sz w:val="32"/>
          <w:szCs w:val="32"/>
        </w:rPr>
      </w:pPr>
      <w:r>
        <w:rPr>
          <w:rFonts w:hint="eastAsia" w:ascii="仿宋" w:hAnsi="仿宋" w:eastAsia="仿宋" w:cs="仿宋"/>
          <w:color w:val="auto"/>
          <w:sz w:val="32"/>
          <w:szCs w:val="32"/>
          <w:shd w:val="clear" w:color="auto" w:fill="FFFFFF"/>
        </w:rPr>
        <w:t>2、联系人及电话：程秋芳15179140027</w:t>
      </w:r>
      <w:r>
        <w:rPr>
          <w:rFonts w:hint="eastAsia"/>
          <w:color w:val="auto"/>
          <w:sz w:val="32"/>
          <w:szCs w:val="32"/>
        </w:rPr>
        <w:t xml:space="preserve">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color w:val="auto"/>
          <w:sz w:val="32"/>
          <w:szCs w:val="32"/>
        </w:rPr>
      </w:pP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color w:val="auto"/>
          <w:sz w:val="32"/>
          <w:szCs w:val="32"/>
        </w:rPr>
      </w:pP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rPr>
          <w:color w:val="auto"/>
          <w:sz w:val="32"/>
          <w:szCs w:val="32"/>
        </w:rPr>
      </w:pP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jc w:val="right"/>
        <w:rPr>
          <w:rFonts w:ascii="仿宋" w:hAnsi="仿宋" w:eastAsia="仿宋" w:cs="仿宋"/>
          <w:color w:val="auto"/>
          <w:sz w:val="32"/>
          <w:szCs w:val="32"/>
        </w:rPr>
      </w:pPr>
      <w:r>
        <w:rPr>
          <w:rFonts w:hint="eastAsia"/>
          <w:color w:val="auto"/>
          <w:sz w:val="32"/>
          <w:szCs w:val="32"/>
        </w:rPr>
        <w:t xml:space="preserve">     </w:t>
      </w:r>
      <w:r>
        <w:rPr>
          <w:rFonts w:hint="eastAsia" w:ascii="仿宋" w:hAnsi="仿宋" w:eastAsia="仿宋" w:cs="仿宋"/>
          <w:color w:val="auto"/>
          <w:sz w:val="32"/>
          <w:szCs w:val="32"/>
          <w:shd w:val="clear" w:color="auto" w:fill="FFFFFF"/>
        </w:rPr>
        <w:t>南昌市红力建设工程管理有限公司</w:t>
      </w:r>
    </w:p>
    <w:p>
      <w:pPr>
        <w:keepNext w:val="0"/>
        <w:keepLines w:val="0"/>
        <w:pageBreakBefore w:val="0"/>
        <w:kinsoku/>
        <w:wordWrap/>
        <w:overflowPunct/>
        <w:topLinePunct w:val="0"/>
        <w:bidi w:val="0"/>
        <w:snapToGrid/>
        <w:spacing w:line="560" w:lineRule="exact"/>
        <w:jc w:val="center"/>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highlight w:val="none"/>
        </w:rPr>
        <w:t>2022年8月29日</w:t>
      </w:r>
    </w:p>
    <w:sectPr>
      <w:pgSz w:w="11906" w:h="16838"/>
      <w:pgMar w:top="1213" w:right="1746" w:bottom="121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jg2YjI0YWUxYTIxMTJkYzE3ODE5MjgxMDQ3OTEifQ=="/>
  </w:docVars>
  <w:rsids>
    <w:rsidRoot w:val="6E355BB3"/>
    <w:rsid w:val="00030E52"/>
    <w:rsid w:val="00077C2C"/>
    <w:rsid w:val="000B2F60"/>
    <w:rsid w:val="000B697F"/>
    <w:rsid w:val="000D2ADD"/>
    <w:rsid w:val="0013790D"/>
    <w:rsid w:val="00172A32"/>
    <w:rsid w:val="001A3135"/>
    <w:rsid w:val="001C2F39"/>
    <w:rsid w:val="001D3C69"/>
    <w:rsid w:val="001E0651"/>
    <w:rsid w:val="001E4CBB"/>
    <w:rsid w:val="00217FE4"/>
    <w:rsid w:val="002D3913"/>
    <w:rsid w:val="00320645"/>
    <w:rsid w:val="00350D7E"/>
    <w:rsid w:val="003C2F9A"/>
    <w:rsid w:val="0042611D"/>
    <w:rsid w:val="00465F7F"/>
    <w:rsid w:val="004F0EE1"/>
    <w:rsid w:val="005A77B8"/>
    <w:rsid w:val="00652E58"/>
    <w:rsid w:val="00665D8F"/>
    <w:rsid w:val="00674964"/>
    <w:rsid w:val="00690BF5"/>
    <w:rsid w:val="006B61AD"/>
    <w:rsid w:val="006F73F0"/>
    <w:rsid w:val="00706669"/>
    <w:rsid w:val="00751778"/>
    <w:rsid w:val="00754F24"/>
    <w:rsid w:val="007A38B0"/>
    <w:rsid w:val="007C79FD"/>
    <w:rsid w:val="008972CF"/>
    <w:rsid w:val="008C2FF3"/>
    <w:rsid w:val="008D2E79"/>
    <w:rsid w:val="008D7C30"/>
    <w:rsid w:val="00915EE2"/>
    <w:rsid w:val="00953B0D"/>
    <w:rsid w:val="00A11F8E"/>
    <w:rsid w:val="00A35367"/>
    <w:rsid w:val="00A63A9E"/>
    <w:rsid w:val="00A74CA7"/>
    <w:rsid w:val="00AE24A3"/>
    <w:rsid w:val="00AF0CE0"/>
    <w:rsid w:val="00AF3FA6"/>
    <w:rsid w:val="00B0750E"/>
    <w:rsid w:val="00B15A83"/>
    <w:rsid w:val="00B2308A"/>
    <w:rsid w:val="00B252FF"/>
    <w:rsid w:val="00B40065"/>
    <w:rsid w:val="00B44EE5"/>
    <w:rsid w:val="00B71BA4"/>
    <w:rsid w:val="00B84662"/>
    <w:rsid w:val="00B95756"/>
    <w:rsid w:val="00BE3C8A"/>
    <w:rsid w:val="00C9074A"/>
    <w:rsid w:val="00CA2A80"/>
    <w:rsid w:val="00CB2187"/>
    <w:rsid w:val="00CB34C9"/>
    <w:rsid w:val="00D24876"/>
    <w:rsid w:val="00DA64A6"/>
    <w:rsid w:val="00DD256D"/>
    <w:rsid w:val="00DD591D"/>
    <w:rsid w:val="00E05963"/>
    <w:rsid w:val="00E93F64"/>
    <w:rsid w:val="00EA48F5"/>
    <w:rsid w:val="00EC1E2F"/>
    <w:rsid w:val="00ED25B1"/>
    <w:rsid w:val="00F374FB"/>
    <w:rsid w:val="00F565E7"/>
    <w:rsid w:val="00F90B8F"/>
    <w:rsid w:val="00FB0963"/>
    <w:rsid w:val="00FC6041"/>
    <w:rsid w:val="00FD34BE"/>
    <w:rsid w:val="01370BA1"/>
    <w:rsid w:val="019756C4"/>
    <w:rsid w:val="03200D94"/>
    <w:rsid w:val="03685E82"/>
    <w:rsid w:val="094675B8"/>
    <w:rsid w:val="0A833CF9"/>
    <w:rsid w:val="0B82769C"/>
    <w:rsid w:val="0D0F2CBE"/>
    <w:rsid w:val="0DE6013F"/>
    <w:rsid w:val="0E6356DD"/>
    <w:rsid w:val="149B700F"/>
    <w:rsid w:val="15A85DE7"/>
    <w:rsid w:val="1A9C4CF0"/>
    <w:rsid w:val="1AB6187A"/>
    <w:rsid w:val="1ACE14DC"/>
    <w:rsid w:val="1C815432"/>
    <w:rsid w:val="20B3640E"/>
    <w:rsid w:val="27DE1AB2"/>
    <w:rsid w:val="28FF6D54"/>
    <w:rsid w:val="296A48A8"/>
    <w:rsid w:val="2A346C24"/>
    <w:rsid w:val="2CD242AF"/>
    <w:rsid w:val="307B0FDE"/>
    <w:rsid w:val="312E26B1"/>
    <w:rsid w:val="35351EDC"/>
    <w:rsid w:val="3567133F"/>
    <w:rsid w:val="35BA5BE1"/>
    <w:rsid w:val="35D16DC0"/>
    <w:rsid w:val="361433DA"/>
    <w:rsid w:val="37C725E9"/>
    <w:rsid w:val="390A3AB4"/>
    <w:rsid w:val="3CE45743"/>
    <w:rsid w:val="3D3A2E16"/>
    <w:rsid w:val="3DC81737"/>
    <w:rsid w:val="3E7C5F3B"/>
    <w:rsid w:val="452A03C1"/>
    <w:rsid w:val="489A77D3"/>
    <w:rsid w:val="4B86222C"/>
    <w:rsid w:val="501971C7"/>
    <w:rsid w:val="50243DC2"/>
    <w:rsid w:val="5034793C"/>
    <w:rsid w:val="50BC3EB6"/>
    <w:rsid w:val="51C95841"/>
    <w:rsid w:val="521D0E97"/>
    <w:rsid w:val="52365F24"/>
    <w:rsid w:val="533810E0"/>
    <w:rsid w:val="53F44873"/>
    <w:rsid w:val="5BAF521D"/>
    <w:rsid w:val="5E36247F"/>
    <w:rsid w:val="64455315"/>
    <w:rsid w:val="66A852F5"/>
    <w:rsid w:val="6DD75CE7"/>
    <w:rsid w:val="6E355BB3"/>
    <w:rsid w:val="6FF675CE"/>
    <w:rsid w:val="719E477A"/>
    <w:rsid w:val="736811C7"/>
    <w:rsid w:val="74CD384E"/>
    <w:rsid w:val="75A95BFF"/>
    <w:rsid w:val="76034764"/>
    <w:rsid w:val="78397A77"/>
    <w:rsid w:val="7B1C2130"/>
    <w:rsid w:val="7D821334"/>
    <w:rsid w:val="7DBC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9"/>
    <w:pPr>
      <w:keepNext/>
      <w:keepLines/>
      <w:spacing w:before="260" w:after="260" w:line="413" w:lineRule="auto"/>
      <w:jc w:val="center"/>
      <w:outlineLvl w:val="1"/>
    </w:pPr>
    <w:rPr>
      <w:rFonts w:ascii="Cambria" w:hAnsi="Cambria"/>
      <w:b/>
      <w:bCs/>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pPr>
    <w:rPr>
      <w:rFonts w:ascii="仿宋" w:hAnsi="仿宋" w:eastAsia="仿宋" w:cs="Times New Roman"/>
      <w:color w:val="000000"/>
      <w:sz w:val="24"/>
      <w:lang w:val="en-US" w:eastAsia="zh-CN" w:bidi="ar-SA"/>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paragraph" w:customStyle="1" w:styleId="11">
    <w:name w:val="正文1"/>
    <w:basedOn w:val="1"/>
    <w:qFormat/>
    <w:uiPriority w:val="0"/>
    <w:pPr>
      <w:adjustRightInd w:val="0"/>
      <w:spacing w:line="480" w:lineRule="atLeast"/>
      <w:textAlignment w:val="baseline"/>
    </w:pPr>
    <w:rPr>
      <w:rFonts w:ascii="宋体"/>
      <w:kern w:val="0"/>
      <w:sz w:val="28"/>
      <w:szCs w:val="20"/>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566A5-0517-466B-B1AB-8464CCBFF7FC}">
  <ds:schemaRefs/>
</ds:datastoreItem>
</file>

<file path=docProps/app.xml><?xml version="1.0" encoding="utf-8"?>
<Properties xmlns="http://schemas.openxmlformats.org/officeDocument/2006/extended-properties" xmlns:vt="http://schemas.openxmlformats.org/officeDocument/2006/docPropsVTypes">
  <Template>Normal</Template>
  <Pages>4</Pages>
  <Words>1544</Words>
  <Characters>1600</Characters>
  <Lines>12</Lines>
  <Paragraphs>3</Paragraphs>
  <TotalTime>0</TotalTime>
  <ScaleCrop>false</ScaleCrop>
  <LinksUpToDate>false</LinksUpToDate>
  <CharactersWithSpaces>1674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2019-09-19T03:58:00Z</dcterms:created>
  <dc:creator>姜滔</dc:creator>
  <cp:lastModifiedBy>朱启超</cp:lastModifiedBy>
  <cp:lastPrinted>2022-07-12T06:28:00Z</cp:lastPrinted>
  <dcterms:modified xsi:type="dcterms:W3CDTF">2022-08-31T02:46:41Z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1C54585D76124B49BC9B0506E2C40F2D</vt:lpwstr>
  </property>
</Properties>
</file>