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宋体" w:hAnsi="宋体"/>
          <w:b/>
          <w:color w:val="auto"/>
          <w:sz w:val="52"/>
          <w:szCs w:val="52"/>
          <w:highlight w:val="none"/>
        </w:rPr>
      </w:pPr>
    </w:p>
    <w:p>
      <w:pPr>
        <w:jc w:val="center"/>
        <w:rPr>
          <w:rFonts w:ascii="黑体" w:hAnsi="黑体" w:eastAsia="黑体"/>
          <w:b/>
          <w:color w:val="auto"/>
          <w:sz w:val="48"/>
          <w:szCs w:val="48"/>
          <w:highlight w:val="none"/>
        </w:rPr>
      </w:pPr>
    </w:p>
    <w:p>
      <w:pPr>
        <w:pStyle w:val="46"/>
        <w:rPr>
          <w:color w:val="auto"/>
          <w:highlight w:val="none"/>
        </w:rPr>
      </w:pPr>
    </w:p>
    <w:p>
      <w:pPr>
        <w:jc w:val="center"/>
        <w:rPr>
          <w:rFonts w:ascii="黑体" w:hAnsi="黑体" w:eastAsia="黑体"/>
          <w:b/>
          <w:color w:val="auto"/>
          <w:sz w:val="72"/>
          <w:szCs w:val="72"/>
          <w:highlight w:val="none"/>
        </w:rPr>
      </w:pPr>
      <w:r>
        <w:rPr>
          <w:rFonts w:hint="eastAsia" w:ascii="黑体" w:hAnsi="黑体" w:eastAsia="黑体"/>
          <w:b/>
          <w:color w:val="auto"/>
          <w:sz w:val="72"/>
          <w:szCs w:val="72"/>
          <w:highlight w:val="none"/>
        </w:rPr>
        <w:t>国内公开比选文件</w:t>
      </w:r>
    </w:p>
    <w:p>
      <w:pPr>
        <w:jc w:val="center"/>
        <w:rPr>
          <w:rFonts w:ascii="黑体" w:hAnsi="黑体" w:eastAsia="黑体"/>
          <w:b/>
          <w:color w:val="auto"/>
          <w:sz w:val="30"/>
          <w:szCs w:val="30"/>
          <w:highlight w:val="none"/>
          <w:u w:val="single"/>
        </w:rPr>
      </w:pPr>
    </w:p>
    <w:p>
      <w:pPr>
        <w:rPr>
          <w:rFonts w:ascii="黑体" w:hAnsi="黑体" w:eastAsia="黑体"/>
          <w:b/>
          <w:color w:val="auto"/>
          <w:sz w:val="30"/>
          <w:szCs w:val="30"/>
          <w:highlight w:val="none"/>
          <w:u w:val="single"/>
        </w:rPr>
      </w:pPr>
    </w:p>
    <w:p>
      <w:pPr>
        <w:pStyle w:val="46"/>
        <w:rPr>
          <w:color w:val="auto"/>
          <w:highlight w:val="none"/>
        </w:rPr>
      </w:pPr>
    </w:p>
    <w:p>
      <w:pPr>
        <w:pStyle w:val="46"/>
        <w:rPr>
          <w:color w:val="auto"/>
          <w:highlight w:val="none"/>
        </w:rPr>
      </w:pPr>
    </w:p>
    <w:p>
      <w:pPr>
        <w:spacing w:line="720" w:lineRule="auto"/>
        <w:ind w:firstLine="600" w:firstLineChars="200"/>
        <w:rPr>
          <w:rFonts w:eastAsia="黑体"/>
          <w:color w:val="auto"/>
          <w:sz w:val="28"/>
          <w:szCs w:val="28"/>
          <w:highlight w:val="none"/>
        </w:rPr>
      </w:pPr>
      <w:r>
        <w:rPr>
          <w:rFonts w:hint="eastAsia" w:eastAsia="黑体"/>
          <w:color w:val="auto"/>
          <w:sz w:val="30"/>
          <w:szCs w:val="30"/>
          <w:highlight w:val="none"/>
        </w:rPr>
        <w:t>项目名称：</w:t>
      </w:r>
      <w:r>
        <w:rPr>
          <w:rFonts w:hint="eastAsia" w:eastAsia="黑体"/>
          <w:color w:val="auto"/>
          <w:sz w:val="28"/>
          <w:szCs w:val="28"/>
          <w:highlight w:val="none"/>
        </w:rPr>
        <w:t>红谷滩区慈善总会办公用房提升改造项目</w:t>
      </w:r>
    </w:p>
    <w:p>
      <w:pPr>
        <w:spacing w:line="720" w:lineRule="auto"/>
        <w:ind w:firstLine="600" w:firstLineChars="200"/>
        <w:rPr>
          <w:rFonts w:eastAsia="黑体"/>
          <w:color w:val="auto"/>
          <w:sz w:val="30"/>
          <w:szCs w:val="30"/>
          <w:highlight w:val="none"/>
        </w:rPr>
      </w:pPr>
      <w:r>
        <w:rPr>
          <w:rFonts w:hint="eastAsia" w:eastAsia="黑体"/>
          <w:color w:val="auto"/>
          <w:sz w:val="30"/>
          <w:szCs w:val="30"/>
          <w:highlight w:val="none"/>
        </w:rPr>
        <w:t>项目编号：JXMFF20221012</w:t>
      </w:r>
    </w:p>
    <w:p>
      <w:pPr>
        <w:spacing w:line="720" w:lineRule="auto"/>
        <w:ind w:firstLine="600" w:firstLineChars="200"/>
        <w:rPr>
          <w:rFonts w:eastAsia="黑体"/>
          <w:color w:val="auto"/>
          <w:sz w:val="30"/>
          <w:szCs w:val="30"/>
          <w:highlight w:val="none"/>
        </w:rPr>
      </w:pPr>
      <w:r>
        <w:rPr>
          <w:rFonts w:hint="eastAsia" w:eastAsia="黑体"/>
          <w:color w:val="auto"/>
          <w:sz w:val="30"/>
          <w:szCs w:val="30"/>
          <w:highlight w:val="none"/>
        </w:rPr>
        <w:t>比选人：南昌红润项目管理有限公司（公章）</w:t>
      </w:r>
    </w:p>
    <w:p>
      <w:pPr>
        <w:spacing w:line="720" w:lineRule="auto"/>
        <w:ind w:firstLine="600" w:firstLineChars="200"/>
        <w:rPr>
          <w:rFonts w:eastAsia="黑体"/>
          <w:color w:val="auto"/>
          <w:sz w:val="30"/>
          <w:szCs w:val="30"/>
          <w:highlight w:val="none"/>
        </w:rPr>
      </w:pPr>
      <w:r>
        <w:rPr>
          <w:rFonts w:hint="eastAsia" w:eastAsia="黑体"/>
          <w:color w:val="auto"/>
          <w:sz w:val="30"/>
          <w:szCs w:val="30"/>
          <w:highlight w:val="none"/>
        </w:rPr>
        <w:t>招标代理机构：江西明法招标有限公司（公章）</w:t>
      </w:r>
    </w:p>
    <w:p>
      <w:pPr>
        <w:pStyle w:val="6"/>
        <w:rPr>
          <w:color w:val="auto"/>
          <w:highlight w:val="none"/>
        </w:rPr>
      </w:pPr>
    </w:p>
    <w:p>
      <w:pPr>
        <w:rPr>
          <w:color w:val="auto"/>
          <w:highlight w:val="none"/>
        </w:rPr>
      </w:pPr>
    </w:p>
    <w:p>
      <w:pPr>
        <w:spacing w:line="480" w:lineRule="auto"/>
        <w:rPr>
          <w:rFonts w:eastAsia="黑体"/>
          <w:color w:val="auto"/>
          <w:sz w:val="32"/>
          <w:highlight w:val="none"/>
        </w:rPr>
      </w:pPr>
    </w:p>
    <w:p>
      <w:pPr>
        <w:pStyle w:val="46"/>
        <w:rPr>
          <w:color w:val="auto"/>
          <w:highlight w:val="none"/>
        </w:rPr>
      </w:pPr>
    </w:p>
    <w:p>
      <w:pPr>
        <w:spacing w:line="360" w:lineRule="auto"/>
        <w:jc w:val="center"/>
        <w:rPr>
          <w:rFonts w:ascii="宋体" w:hAnsi="宋体"/>
          <w:b/>
          <w:color w:val="auto"/>
          <w:sz w:val="36"/>
          <w:highlight w:val="none"/>
        </w:rPr>
      </w:pPr>
      <w:r>
        <w:rPr>
          <w:rFonts w:hint="eastAsia" w:ascii="宋体" w:hAnsi="宋体"/>
          <w:b/>
          <w:color w:val="auto"/>
          <w:sz w:val="36"/>
          <w:highlight w:val="none"/>
        </w:rPr>
        <w:t>二〇二二年十一月</w:t>
      </w:r>
    </w:p>
    <w:p>
      <w:pPr>
        <w:pStyle w:val="10"/>
        <w:rPr>
          <w:rFonts w:ascii="黑体" w:hAnsi="黑体" w:eastAsia="黑体"/>
          <w:b/>
          <w:color w:val="auto"/>
          <w:sz w:val="30"/>
          <w:szCs w:val="30"/>
          <w:highlight w:val="none"/>
          <w:u w:val="single"/>
        </w:rPr>
      </w:pPr>
    </w:p>
    <w:p>
      <w:pPr>
        <w:rPr>
          <w:rFonts w:ascii="黑体" w:hAnsi="黑体" w:eastAsia="黑体"/>
          <w:b/>
          <w:color w:val="auto"/>
          <w:sz w:val="30"/>
          <w:szCs w:val="30"/>
          <w:highlight w:val="none"/>
          <w:u w:val="single"/>
        </w:rPr>
      </w:pPr>
    </w:p>
    <w:p>
      <w:pPr>
        <w:jc w:val="center"/>
        <w:rPr>
          <w:rFonts w:ascii="宋体" w:hAnsi="宋体"/>
          <w:b/>
          <w:color w:val="auto"/>
          <w:sz w:val="48"/>
          <w:szCs w:val="48"/>
          <w:highlight w:val="none"/>
        </w:rPr>
      </w:pPr>
    </w:p>
    <w:p>
      <w:pPr>
        <w:jc w:val="center"/>
        <w:rPr>
          <w:rFonts w:ascii="宋体" w:hAnsi="宋体"/>
          <w:color w:val="auto"/>
          <w:sz w:val="48"/>
          <w:szCs w:val="48"/>
          <w:highlight w:val="none"/>
        </w:rPr>
      </w:pPr>
    </w:p>
    <w:p>
      <w:pPr>
        <w:jc w:val="center"/>
        <w:rPr>
          <w:rFonts w:ascii="宋体" w:hAnsi="宋体"/>
          <w:color w:val="auto"/>
          <w:sz w:val="48"/>
          <w:szCs w:val="48"/>
          <w:highlight w:val="none"/>
        </w:rPr>
      </w:pPr>
    </w:p>
    <w:p>
      <w:pPr>
        <w:jc w:val="center"/>
        <w:rPr>
          <w:rFonts w:ascii="宋体" w:hAnsi="宋体"/>
          <w:color w:val="auto"/>
          <w:sz w:val="48"/>
          <w:szCs w:val="48"/>
          <w:highlight w:val="none"/>
        </w:rPr>
      </w:pPr>
      <w:r>
        <w:rPr>
          <w:rFonts w:ascii="宋体" w:hAnsi="宋体"/>
          <w:color w:val="auto"/>
          <w:sz w:val="48"/>
          <w:szCs w:val="48"/>
          <w:highlight w:val="none"/>
        </w:rPr>
        <w:t>目录</w:t>
      </w:r>
    </w:p>
    <w:p>
      <w:pPr>
        <w:pStyle w:val="46"/>
        <w:rPr>
          <w:color w:val="auto"/>
          <w:highlight w:val="none"/>
        </w:rPr>
      </w:pPr>
    </w:p>
    <w:p>
      <w:pPr>
        <w:pStyle w:val="63"/>
        <w:tabs>
          <w:tab w:val="right" w:leader="dot" w:pos="8620"/>
        </w:tabs>
        <w:spacing w:line="700" w:lineRule="exact"/>
        <w:rPr>
          <w:color w:val="auto"/>
          <w:sz w:val="28"/>
          <w:szCs w:val="28"/>
          <w:highlight w:val="none"/>
        </w:rPr>
      </w:pPr>
      <w:r>
        <w:rPr>
          <w:color w:val="auto"/>
          <w:sz w:val="28"/>
          <w:szCs w:val="28"/>
          <w:highlight w:val="none"/>
        </w:rPr>
        <w:fldChar w:fldCharType="begin"/>
      </w:r>
      <w:r>
        <w:rPr>
          <w:color w:val="auto"/>
          <w:sz w:val="28"/>
          <w:szCs w:val="28"/>
          <w:highlight w:val="none"/>
        </w:rPr>
        <w:instrText xml:space="preserve">TOC \o "1-1" \h \u </w:instrText>
      </w:r>
      <w:r>
        <w:rPr>
          <w:color w:val="auto"/>
          <w:sz w:val="28"/>
          <w:szCs w:val="28"/>
          <w:highlight w:val="none"/>
        </w:rPr>
        <w:fldChar w:fldCharType="separate"/>
      </w:r>
      <w:r>
        <w:rPr>
          <w:color w:val="auto"/>
          <w:highlight w:val="none"/>
        </w:rPr>
        <w:fldChar w:fldCharType="begin"/>
      </w:r>
      <w:r>
        <w:rPr>
          <w:color w:val="auto"/>
          <w:highlight w:val="none"/>
        </w:rPr>
        <w:instrText xml:space="preserve"> HYPERLINK \l "_Toc7752" </w:instrText>
      </w:r>
      <w:r>
        <w:rPr>
          <w:color w:val="auto"/>
          <w:highlight w:val="none"/>
        </w:rPr>
        <w:fldChar w:fldCharType="separate"/>
      </w:r>
      <w:r>
        <w:rPr>
          <w:rFonts w:ascii="宋体" w:hAnsi="宋体"/>
          <w:color w:val="auto"/>
          <w:sz w:val="28"/>
          <w:szCs w:val="28"/>
          <w:highlight w:val="none"/>
        </w:rPr>
        <w:t xml:space="preserve">第一章 </w:t>
      </w:r>
      <w:r>
        <w:rPr>
          <w:rFonts w:hint="eastAsia" w:ascii="宋体" w:hAnsi="宋体"/>
          <w:color w:val="auto"/>
          <w:sz w:val="28"/>
          <w:szCs w:val="28"/>
          <w:highlight w:val="none"/>
        </w:rPr>
        <w:t>比选公告</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_Toc7752 \h </w:instrText>
      </w:r>
      <w:r>
        <w:rPr>
          <w:color w:val="auto"/>
          <w:sz w:val="28"/>
          <w:szCs w:val="28"/>
          <w:highlight w:val="none"/>
        </w:rPr>
        <w:fldChar w:fldCharType="separate"/>
      </w:r>
      <w:r>
        <w:rPr>
          <w:color w:val="auto"/>
          <w:sz w:val="28"/>
          <w:szCs w:val="28"/>
          <w:highlight w:val="none"/>
        </w:rPr>
        <w:t>1</w:t>
      </w:r>
      <w:r>
        <w:rPr>
          <w:color w:val="auto"/>
          <w:sz w:val="28"/>
          <w:szCs w:val="28"/>
          <w:highlight w:val="none"/>
        </w:rPr>
        <w:fldChar w:fldCharType="end"/>
      </w:r>
      <w:r>
        <w:rPr>
          <w:color w:val="auto"/>
          <w:sz w:val="28"/>
          <w:szCs w:val="28"/>
          <w:highlight w:val="none"/>
        </w:rPr>
        <w:fldChar w:fldCharType="end"/>
      </w:r>
    </w:p>
    <w:p>
      <w:pPr>
        <w:pStyle w:val="63"/>
        <w:tabs>
          <w:tab w:val="right" w:leader="dot" w:pos="8620"/>
        </w:tabs>
        <w:spacing w:line="700" w:lineRule="exact"/>
        <w:rPr>
          <w:color w:val="auto"/>
          <w:sz w:val="28"/>
          <w:szCs w:val="28"/>
          <w:highlight w:val="none"/>
        </w:rPr>
      </w:pPr>
      <w:r>
        <w:rPr>
          <w:color w:val="auto"/>
          <w:highlight w:val="none"/>
        </w:rPr>
        <w:fldChar w:fldCharType="begin"/>
      </w:r>
      <w:r>
        <w:rPr>
          <w:color w:val="auto"/>
          <w:highlight w:val="none"/>
        </w:rPr>
        <w:instrText xml:space="preserve"> HYPERLINK \l "_Toc25282" </w:instrText>
      </w:r>
      <w:r>
        <w:rPr>
          <w:color w:val="auto"/>
          <w:highlight w:val="none"/>
        </w:rPr>
        <w:fldChar w:fldCharType="separate"/>
      </w:r>
      <w:r>
        <w:rPr>
          <w:rFonts w:ascii="宋体" w:hAnsi="宋体"/>
          <w:color w:val="auto"/>
          <w:sz w:val="28"/>
          <w:szCs w:val="28"/>
          <w:highlight w:val="none"/>
        </w:rPr>
        <w:t xml:space="preserve">第二章 </w:t>
      </w:r>
      <w:r>
        <w:rPr>
          <w:rFonts w:hint="eastAsia" w:ascii="宋体" w:hAnsi="宋体"/>
          <w:color w:val="auto"/>
          <w:sz w:val="28"/>
          <w:szCs w:val="28"/>
          <w:highlight w:val="none"/>
        </w:rPr>
        <w:t>参选人须知</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_Toc25282 \h </w:instrText>
      </w:r>
      <w:r>
        <w:rPr>
          <w:color w:val="auto"/>
          <w:sz w:val="28"/>
          <w:szCs w:val="28"/>
          <w:highlight w:val="none"/>
        </w:rPr>
        <w:fldChar w:fldCharType="separate"/>
      </w:r>
      <w:r>
        <w:rPr>
          <w:color w:val="auto"/>
          <w:sz w:val="28"/>
          <w:szCs w:val="28"/>
          <w:highlight w:val="none"/>
        </w:rPr>
        <w:t>3</w:t>
      </w:r>
      <w:r>
        <w:rPr>
          <w:color w:val="auto"/>
          <w:sz w:val="28"/>
          <w:szCs w:val="28"/>
          <w:highlight w:val="none"/>
        </w:rPr>
        <w:fldChar w:fldCharType="end"/>
      </w:r>
      <w:r>
        <w:rPr>
          <w:color w:val="auto"/>
          <w:sz w:val="28"/>
          <w:szCs w:val="28"/>
          <w:highlight w:val="none"/>
        </w:rPr>
        <w:fldChar w:fldCharType="end"/>
      </w:r>
    </w:p>
    <w:p>
      <w:pPr>
        <w:pStyle w:val="63"/>
        <w:tabs>
          <w:tab w:val="right" w:leader="dot" w:pos="8620"/>
        </w:tabs>
        <w:spacing w:line="700" w:lineRule="exact"/>
        <w:ind w:right="199" w:rightChars="95"/>
        <w:rPr>
          <w:color w:val="auto"/>
          <w:sz w:val="28"/>
          <w:szCs w:val="28"/>
          <w:highlight w:val="none"/>
        </w:rPr>
      </w:pPr>
      <w:r>
        <w:rPr>
          <w:color w:val="auto"/>
          <w:highlight w:val="none"/>
        </w:rPr>
        <w:fldChar w:fldCharType="begin"/>
      </w:r>
      <w:r>
        <w:rPr>
          <w:color w:val="auto"/>
          <w:highlight w:val="none"/>
        </w:rPr>
        <w:instrText xml:space="preserve"> HYPERLINK \l "_Toc16307" </w:instrText>
      </w:r>
      <w:r>
        <w:rPr>
          <w:color w:val="auto"/>
          <w:highlight w:val="none"/>
        </w:rPr>
        <w:fldChar w:fldCharType="separate"/>
      </w:r>
      <w:r>
        <w:rPr>
          <w:rFonts w:hint="eastAsia" w:ascii="宋体" w:hAnsi="宋体" w:cs="宋体"/>
          <w:color w:val="auto"/>
          <w:sz w:val="28"/>
          <w:szCs w:val="28"/>
          <w:highlight w:val="none"/>
        </w:rPr>
        <w:t>第三章 评审办法</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_Toc16307 \h </w:instrText>
      </w:r>
      <w:r>
        <w:rPr>
          <w:color w:val="auto"/>
          <w:sz w:val="28"/>
          <w:szCs w:val="28"/>
          <w:highlight w:val="none"/>
        </w:rPr>
        <w:fldChar w:fldCharType="separate"/>
      </w:r>
      <w:r>
        <w:rPr>
          <w:color w:val="auto"/>
          <w:sz w:val="28"/>
          <w:szCs w:val="28"/>
          <w:highlight w:val="none"/>
        </w:rPr>
        <w:t>11</w:t>
      </w:r>
      <w:r>
        <w:rPr>
          <w:color w:val="auto"/>
          <w:sz w:val="28"/>
          <w:szCs w:val="28"/>
          <w:highlight w:val="none"/>
        </w:rPr>
        <w:fldChar w:fldCharType="end"/>
      </w:r>
      <w:r>
        <w:rPr>
          <w:color w:val="auto"/>
          <w:sz w:val="28"/>
          <w:szCs w:val="28"/>
          <w:highlight w:val="none"/>
        </w:rPr>
        <w:fldChar w:fldCharType="end"/>
      </w:r>
    </w:p>
    <w:p>
      <w:pPr>
        <w:pStyle w:val="63"/>
        <w:tabs>
          <w:tab w:val="right" w:leader="dot" w:pos="8620"/>
        </w:tabs>
        <w:spacing w:line="700" w:lineRule="exact"/>
        <w:rPr>
          <w:color w:val="auto"/>
          <w:sz w:val="28"/>
          <w:szCs w:val="28"/>
          <w:highlight w:val="none"/>
        </w:rPr>
      </w:pPr>
      <w:r>
        <w:rPr>
          <w:color w:val="auto"/>
          <w:highlight w:val="none"/>
        </w:rPr>
        <w:fldChar w:fldCharType="begin"/>
      </w:r>
      <w:r>
        <w:rPr>
          <w:color w:val="auto"/>
          <w:highlight w:val="none"/>
        </w:rPr>
        <w:instrText xml:space="preserve"> HYPERLINK \l "_Toc3315" </w:instrText>
      </w:r>
      <w:r>
        <w:rPr>
          <w:color w:val="auto"/>
          <w:highlight w:val="none"/>
        </w:rPr>
        <w:fldChar w:fldCharType="separate"/>
      </w:r>
      <w:r>
        <w:rPr>
          <w:rFonts w:hint="eastAsia" w:ascii="宋体" w:hAnsi="宋体" w:cs="宋体"/>
          <w:color w:val="auto"/>
          <w:sz w:val="28"/>
          <w:szCs w:val="28"/>
          <w:highlight w:val="none"/>
        </w:rPr>
        <w:t>第四章 项目需求</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_Toc3315 \h </w:instrText>
      </w:r>
      <w:r>
        <w:rPr>
          <w:color w:val="auto"/>
          <w:sz w:val="28"/>
          <w:szCs w:val="28"/>
          <w:highlight w:val="none"/>
        </w:rPr>
        <w:fldChar w:fldCharType="separate"/>
      </w:r>
      <w:r>
        <w:rPr>
          <w:color w:val="auto"/>
          <w:sz w:val="28"/>
          <w:szCs w:val="28"/>
          <w:highlight w:val="none"/>
        </w:rPr>
        <w:t>13</w:t>
      </w:r>
      <w:r>
        <w:rPr>
          <w:color w:val="auto"/>
          <w:sz w:val="28"/>
          <w:szCs w:val="28"/>
          <w:highlight w:val="none"/>
        </w:rPr>
        <w:fldChar w:fldCharType="end"/>
      </w:r>
      <w:r>
        <w:rPr>
          <w:color w:val="auto"/>
          <w:sz w:val="28"/>
          <w:szCs w:val="28"/>
          <w:highlight w:val="none"/>
        </w:rPr>
        <w:fldChar w:fldCharType="end"/>
      </w:r>
    </w:p>
    <w:p>
      <w:pPr>
        <w:pStyle w:val="63"/>
        <w:tabs>
          <w:tab w:val="right" w:leader="dot" w:pos="8620"/>
        </w:tabs>
        <w:spacing w:line="700" w:lineRule="exact"/>
        <w:rPr>
          <w:color w:val="auto"/>
          <w:sz w:val="28"/>
          <w:szCs w:val="28"/>
          <w:highlight w:val="none"/>
        </w:rPr>
      </w:pPr>
      <w:r>
        <w:rPr>
          <w:color w:val="auto"/>
          <w:highlight w:val="none"/>
        </w:rPr>
        <w:fldChar w:fldCharType="begin"/>
      </w:r>
      <w:r>
        <w:rPr>
          <w:color w:val="auto"/>
          <w:highlight w:val="none"/>
        </w:rPr>
        <w:instrText xml:space="preserve"> HYPERLINK \l "_Toc3945" </w:instrText>
      </w:r>
      <w:r>
        <w:rPr>
          <w:color w:val="auto"/>
          <w:highlight w:val="none"/>
        </w:rPr>
        <w:fldChar w:fldCharType="separate"/>
      </w:r>
      <w:r>
        <w:rPr>
          <w:rFonts w:hint="eastAsia" w:ascii="宋体" w:hAnsi="宋体"/>
          <w:color w:val="auto"/>
          <w:sz w:val="28"/>
          <w:szCs w:val="28"/>
          <w:highlight w:val="none"/>
        </w:rPr>
        <w:t>第五章 参选文件格式</w:t>
      </w:r>
      <w:r>
        <w:rPr>
          <w:color w:val="auto"/>
          <w:sz w:val="28"/>
          <w:szCs w:val="28"/>
          <w:highlight w:val="none"/>
        </w:rPr>
        <w:tab/>
      </w:r>
      <w:r>
        <w:rPr>
          <w:rFonts w:hint="eastAsia"/>
          <w:color w:val="auto"/>
          <w:sz w:val="28"/>
          <w:szCs w:val="28"/>
          <w:highlight w:val="none"/>
          <w:lang w:val="en-US" w:eastAsia="zh-CN"/>
        </w:rPr>
        <w:t>88</w:t>
      </w:r>
      <w:r>
        <w:rPr>
          <w:rFonts w:hint="eastAsia"/>
          <w:color w:val="auto"/>
          <w:sz w:val="28"/>
          <w:szCs w:val="28"/>
          <w:highlight w:val="none"/>
        </w:rPr>
        <w:fldChar w:fldCharType="end"/>
      </w:r>
    </w:p>
    <w:p>
      <w:pPr>
        <w:pStyle w:val="63"/>
        <w:tabs>
          <w:tab w:val="right" w:leader="dot" w:pos="8620"/>
        </w:tabs>
        <w:spacing w:line="700" w:lineRule="exact"/>
        <w:rPr>
          <w:color w:val="auto"/>
          <w:sz w:val="28"/>
          <w:szCs w:val="28"/>
          <w:highlight w:val="none"/>
        </w:rPr>
      </w:pPr>
    </w:p>
    <w:p>
      <w:pPr>
        <w:pStyle w:val="46"/>
        <w:rPr>
          <w:color w:val="auto"/>
          <w:szCs w:val="28"/>
          <w:highlight w:val="none"/>
        </w:rPr>
      </w:pPr>
      <w:r>
        <w:rPr>
          <w:color w:val="auto"/>
          <w:szCs w:val="28"/>
          <w:highlight w:val="none"/>
        </w:rPr>
        <w:fldChar w:fldCharType="end"/>
      </w:r>
    </w:p>
    <w:p>
      <w:pPr>
        <w:pStyle w:val="46"/>
        <w:rPr>
          <w:color w:val="auto"/>
          <w:szCs w:val="28"/>
          <w:highlight w:val="none"/>
        </w:rPr>
      </w:pPr>
    </w:p>
    <w:p>
      <w:pPr>
        <w:pStyle w:val="46"/>
        <w:rPr>
          <w:color w:val="auto"/>
          <w:szCs w:val="28"/>
          <w:highlight w:val="none"/>
        </w:rPr>
      </w:pPr>
    </w:p>
    <w:p>
      <w:pPr>
        <w:pStyle w:val="46"/>
        <w:rPr>
          <w:color w:val="auto"/>
          <w:szCs w:val="28"/>
          <w:highlight w:val="none"/>
        </w:rPr>
      </w:pPr>
    </w:p>
    <w:p>
      <w:pPr>
        <w:pStyle w:val="46"/>
        <w:rPr>
          <w:color w:val="auto"/>
          <w:szCs w:val="28"/>
          <w:highlight w:val="none"/>
        </w:rPr>
      </w:pPr>
    </w:p>
    <w:p>
      <w:pPr>
        <w:pStyle w:val="46"/>
        <w:rPr>
          <w:color w:val="auto"/>
          <w:szCs w:val="28"/>
          <w:highlight w:val="none"/>
        </w:rPr>
      </w:pPr>
    </w:p>
    <w:p>
      <w:pPr>
        <w:pStyle w:val="46"/>
        <w:rPr>
          <w:color w:val="auto"/>
          <w:szCs w:val="28"/>
          <w:highlight w:val="none"/>
        </w:rPr>
      </w:pPr>
    </w:p>
    <w:p>
      <w:pPr>
        <w:pStyle w:val="46"/>
        <w:rPr>
          <w:color w:val="auto"/>
          <w:szCs w:val="28"/>
          <w:highlight w:val="none"/>
        </w:rPr>
      </w:pPr>
    </w:p>
    <w:p>
      <w:pPr>
        <w:pStyle w:val="46"/>
        <w:rPr>
          <w:color w:val="auto"/>
          <w:szCs w:val="28"/>
          <w:highlight w:val="none"/>
        </w:rPr>
      </w:pPr>
    </w:p>
    <w:p>
      <w:pPr>
        <w:pStyle w:val="46"/>
        <w:rPr>
          <w:color w:val="auto"/>
          <w:szCs w:val="28"/>
          <w:highlight w:val="none"/>
        </w:rPr>
      </w:pPr>
    </w:p>
    <w:p>
      <w:pPr>
        <w:pStyle w:val="46"/>
        <w:rPr>
          <w:color w:val="auto"/>
          <w:szCs w:val="28"/>
          <w:highlight w:val="none"/>
        </w:rPr>
      </w:pPr>
    </w:p>
    <w:p>
      <w:pPr>
        <w:pStyle w:val="46"/>
        <w:rPr>
          <w:color w:val="auto"/>
          <w:szCs w:val="28"/>
          <w:highlight w:val="none"/>
        </w:rPr>
      </w:pPr>
    </w:p>
    <w:p>
      <w:pPr>
        <w:pStyle w:val="46"/>
        <w:rPr>
          <w:color w:val="auto"/>
          <w:szCs w:val="28"/>
          <w:highlight w:val="none"/>
        </w:rPr>
      </w:pPr>
    </w:p>
    <w:p>
      <w:pPr>
        <w:pStyle w:val="46"/>
        <w:rPr>
          <w:color w:val="auto"/>
          <w:szCs w:val="28"/>
          <w:highlight w:val="none"/>
        </w:rPr>
      </w:pPr>
    </w:p>
    <w:p>
      <w:pPr>
        <w:pStyle w:val="46"/>
        <w:rPr>
          <w:color w:val="auto"/>
          <w:szCs w:val="28"/>
          <w:highlight w:val="none"/>
        </w:rPr>
      </w:pPr>
    </w:p>
    <w:p>
      <w:pPr>
        <w:pStyle w:val="46"/>
        <w:rPr>
          <w:color w:val="auto"/>
          <w:szCs w:val="28"/>
          <w:highlight w:val="none"/>
        </w:rPr>
      </w:pPr>
    </w:p>
    <w:p>
      <w:pPr>
        <w:pStyle w:val="46"/>
        <w:rPr>
          <w:color w:val="auto"/>
          <w:szCs w:val="28"/>
          <w:highlight w:val="none"/>
        </w:rPr>
      </w:pPr>
    </w:p>
    <w:p>
      <w:pPr>
        <w:pStyle w:val="46"/>
        <w:rPr>
          <w:color w:val="auto"/>
          <w:szCs w:val="28"/>
          <w:highlight w:val="none"/>
        </w:rPr>
      </w:pPr>
    </w:p>
    <w:p>
      <w:pPr>
        <w:pStyle w:val="46"/>
        <w:rPr>
          <w:color w:val="auto"/>
          <w:szCs w:val="28"/>
          <w:highlight w:val="none"/>
        </w:rPr>
      </w:pPr>
    </w:p>
    <w:p>
      <w:pPr>
        <w:pStyle w:val="46"/>
        <w:rPr>
          <w:color w:val="auto"/>
          <w:szCs w:val="28"/>
          <w:highlight w:val="none"/>
        </w:rPr>
        <w:sectPr>
          <w:headerReference r:id="rId3" w:type="default"/>
          <w:pgSz w:w="11906" w:h="16839"/>
          <w:pgMar w:top="1040" w:right="1337" w:bottom="720" w:left="1749" w:header="0" w:footer="601" w:gutter="0"/>
          <w:pgNumType w:start="1"/>
          <w:cols w:space="720" w:num="1"/>
        </w:sectPr>
      </w:pPr>
    </w:p>
    <w:p>
      <w:pPr>
        <w:pStyle w:val="23"/>
        <w:numPr>
          <w:ilvl w:val="0"/>
          <w:numId w:val="2"/>
        </w:numPr>
        <w:spacing w:line="300" w:lineRule="exact"/>
        <w:jc w:val="center"/>
        <w:outlineLvl w:val="0"/>
        <w:rPr>
          <w:rStyle w:val="29"/>
          <w:rFonts w:ascii="宋体" w:hAnsi="宋体"/>
          <w:b/>
          <w:color w:val="auto"/>
          <w:sz w:val="31"/>
          <w:szCs w:val="31"/>
          <w:highlight w:val="none"/>
        </w:rPr>
      </w:pPr>
      <w:bookmarkStart w:id="0" w:name="_Toc7752"/>
      <w:r>
        <w:rPr>
          <w:rStyle w:val="29"/>
          <w:rFonts w:hint="eastAsia" w:ascii="宋体" w:hAnsi="宋体"/>
          <w:b/>
          <w:color w:val="auto"/>
          <w:sz w:val="31"/>
          <w:szCs w:val="31"/>
          <w:highlight w:val="none"/>
        </w:rPr>
        <w:t>比选公告</w:t>
      </w:r>
      <w:bookmarkEnd w:id="0"/>
    </w:p>
    <w:p>
      <w:pPr>
        <w:pStyle w:val="23"/>
        <w:snapToGrid w:val="0"/>
        <w:spacing w:before="0" w:after="0" w:line="400" w:lineRule="exact"/>
        <w:ind w:firstLine="555"/>
        <w:jc w:val="both"/>
        <w:rPr>
          <w:rFonts w:ascii="新宋体" w:hAnsi="新宋体" w:eastAsia="新宋体"/>
          <w:color w:val="auto"/>
          <w:kern w:val="2"/>
          <w:sz w:val="24"/>
          <w:szCs w:val="24"/>
          <w:highlight w:val="none"/>
          <w:lang w:val="zh-CN"/>
        </w:rPr>
      </w:pPr>
      <w:r>
        <w:rPr>
          <w:rFonts w:hint="eastAsia" w:ascii="新宋体" w:hAnsi="新宋体" w:eastAsia="新宋体"/>
          <w:color w:val="auto"/>
          <w:kern w:val="2"/>
          <w:sz w:val="24"/>
          <w:szCs w:val="24"/>
          <w:highlight w:val="none"/>
          <w:lang w:val="zh-CN"/>
        </w:rPr>
        <w:t>江西明法招标有限公司受</w:t>
      </w:r>
      <w:r>
        <w:rPr>
          <w:rFonts w:hint="eastAsia" w:ascii="新宋体" w:hAnsi="新宋体" w:eastAsia="新宋体"/>
          <w:color w:val="auto"/>
          <w:kern w:val="2"/>
          <w:sz w:val="24"/>
          <w:szCs w:val="24"/>
          <w:highlight w:val="none"/>
        </w:rPr>
        <w:t>南昌红润项目管理有限公司</w:t>
      </w:r>
      <w:r>
        <w:rPr>
          <w:rFonts w:hint="eastAsia" w:ascii="新宋体" w:hAnsi="新宋体" w:eastAsia="新宋体"/>
          <w:color w:val="auto"/>
          <w:kern w:val="2"/>
          <w:sz w:val="24"/>
          <w:szCs w:val="24"/>
          <w:highlight w:val="none"/>
          <w:lang w:val="zh-CN"/>
        </w:rPr>
        <w:t>的委托，就</w:t>
      </w:r>
      <w:r>
        <w:rPr>
          <w:rFonts w:hint="eastAsia" w:ascii="新宋体" w:hAnsi="新宋体" w:eastAsia="新宋体"/>
          <w:color w:val="auto"/>
          <w:kern w:val="2"/>
          <w:sz w:val="24"/>
          <w:szCs w:val="24"/>
          <w:highlight w:val="none"/>
        </w:rPr>
        <w:t>红谷滩区慈善总会办公用房提升改造项目</w:t>
      </w:r>
      <w:r>
        <w:rPr>
          <w:rFonts w:hint="eastAsia" w:ascii="新宋体" w:hAnsi="新宋体" w:eastAsia="新宋体"/>
          <w:color w:val="auto"/>
          <w:kern w:val="2"/>
          <w:sz w:val="24"/>
          <w:szCs w:val="24"/>
          <w:highlight w:val="none"/>
          <w:lang w:val="zh-CN"/>
        </w:rPr>
        <w:t>（项目编号：</w:t>
      </w:r>
      <w:r>
        <w:rPr>
          <w:rFonts w:hint="eastAsia" w:ascii="宋体" w:hAnsi="宋体" w:eastAsia="新宋体"/>
          <w:color w:val="auto"/>
          <w:sz w:val="24"/>
          <w:szCs w:val="24"/>
          <w:highlight w:val="none"/>
        </w:rPr>
        <w:t>JXMFF20221012</w:t>
      </w:r>
      <w:r>
        <w:rPr>
          <w:rFonts w:hint="eastAsia" w:ascii="新宋体" w:hAnsi="新宋体" w:eastAsia="新宋体"/>
          <w:color w:val="auto"/>
          <w:kern w:val="2"/>
          <w:sz w:val="24"/>
          <w:szCs w:val="24"/>
          <w:highlight w:val="none"/>
          <w:lang w:val="zh-CN"/>
        </w:rPr>
        <w:t>）进行国内公开比选，</w:t>
      </w:r>
      <w:r>
        <w:rPr>
          <w:rFonts w:hint="eastAsia" w:ascii="宋体" w:hAnsi="宋体"/>
          <w:color w:val="auto"/>
          <w:sz w:val="24"/>
          <w:szCs w:val="24"/>
          <w:highlight w:val="none"/>
        </w:rPr>
        <w:t>欢迎符合资格条件的参选人参与比选。</w:t>
      </w:r>
    </w:p>
    <w:p>
      <w:pPr>
        <w:snapToGrid w:val="0"/>
        <w:spacing w:line="400" w:lineRule="exact"/>
        <w:outlineLvl w:val="1"/>
        <w:rPr>
          <w:rFonts w:ascii="宋体" w:hAnsi="宋体" w:cs="宋体"/>
          <w:b/>
          <w:bCs/>
          <w:color w:val="auto"/>
          <w:kern w:val="0"/>
          <w:sz w:val="24"/>
          <w:highlight w:val="none"/>
        </w:rPr>
      </w:pPr>
      <w:r>
        <w:rPr>
          <w:rFonts w:hint="eastAsia" w:ascii="宋体" w:hAnsi="宋体" w:cs="宋体"/>
          <w:b/>
          <w:bCs/>
          <w:color w:val="auto"/>
          <w:kern w:val="0"/>
          <w:sz w:val="24"/>
          <w:highlight w:val="none"/>
        </w:rPr>
        <w:t>一、项目清单：</w:t>
      </w:r>
    </w:p>
    <w:tbl>
      <w:tblPr>
        <w:tblStyle w:val="26"/>
        <w:tblW w:w="90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8"/>
        <w:gridCol w:w="2441"/>
        <w:gridCol w:w="1097"/>
        <w:gridCol w:w="1684"/>
        <w:gridCol w:w="1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1828" w:type="dxa"/>
            <w:noWrap/>
            <w:vAlign w:val="center"/>
          </w:tcPr>
          <w:p>
            <w:pPr>
              <w:widowControl/>
              <w:snapToGrid w:val="0"/>
              <w:spacing w:line="400" w:lineRule="exact"/>
              <w:jc w:val="center"/>
              <w:rPr>
                <w:rFonts w:ascii="宋体" w:hAnsi="宋体" w:cs="宋体"/>
                <w:color w:val="auto"/>
                <w:kern w:val="0"/>
                <w:sz w:val="24"/>
                <w:highlight w:val="none"/>
              </w:rPr>
            </w:pPr>
            <w:r>
              <w:rPr>
                <w:rFonts w:hint="eastAsia" w:ascii="新宋体" w:hAnsi="新宋体" w:eastAsia="新宋体" w:cs="宋体"/>
                <w:color w:val="auto"/>
                <w:sz w:val="24"/>
                <w:highlight w:val="none"/>
                <w:lang w:val="zh-CN"/>
              </w:rPr>
              <w:t>项目编号</w:t>
            </w:r>
          </w:p>
        </w:tc>
        <w:tc>
          <w:tcPr>
            <w:tcW w:w="2441" w:type="dxa"/>
            <w:noWrap/>
            <w:vAlign w:val="center"/>
          </w:tcPr>
          <w:p>
            <w:pPr>
              <w:widowControl/>
              <w:snapToGrid w:val="0"/>
              <w:spacing w:line="400" w:lineRule="exact"/>
              <w:jc w:val="center"/>
              <w:rPr>
                <w:rFonts w:ascii="宋体" w:hAnsi="宋体" w:cs="宋体"/>
                <w:color w:val="auto"/>
                <w:kern w:val="0"/>
                <w:sz w:val="24"/>
                <w:highlight w:val="none"/>
              </w:rPr>
            </w:pPr>
            <w:r>
              <w:rPr>
                <w:rFonts w:hint="eastAsia" w:ascii="宋体" w:hAnsi="宋体" w:cs="宋体"/>
                <w:color w:val="auto"/>
                <w:kern w:val="0"/>
                <w:sz w:val="24"/>
                <w:highlight w:val="none"/>
              </w:rPr>
              <w:t>项目名称</w:t>
            </w:r>
          </w:p>
        </w:tc>
        <w:tc>
          <w:tcPr>
            <w:tcW w:w="1097" w:type="dxa"/>
            <w:noWrap/>
            <w:vAlign w:val="center"/>
          </w:tcPr>
          <w:p>
            <w:pPr>
              <w:widowControl/>
              <w:snapToGrid w:val="0"/>
              <w:spacing w:line="400" w:lineRule="exact"/>
              <w:jc w:val="center"/>
              <w:rPr>
                <w:rFonts w:ascii="宋体" w:hAnsi="宋体" w:cs="宋体"/>
                <w:color w:val="auto"/>
                <w:kern w:val="0"/>
                <w:sz w:val="24"/>
                <w:highlight w:val="none"/>
              </w:rPr>
            </w:pPr>
            <w:r>
              <w:rPr>
                <w:rFonts w:hint="eastAsia" w:ascii="宋体" w:hAnsi="宋体" w:cs="宋体"/>
                <w:color w:val="auto"/>
                <w:kern w:val="0"/>
                <w:sz w:val="24"/>
                <w:highlight w:val="none"/>
              </w:rPr>
              <w:t>数量</w:t>
            </w:r>
          </w:p>
          <w:p>
            <w:pPr>
              <w:widowControl/>
              <w:snapToGrid w:val="0"/>
              <w:spacing w:line="400" w:lineRule="exact"/>
              <w:jc w:val="center"/>
              <w:rPr>
                <w:rFonts w:ascii="宋体" w:hAnsi="宋体" w:cs="宋体"/>
                <w:color w:val="auto"/>
                <w:kern w:val="0"/>
                <w:sz w:val="24"/>
                <w:highlight w:val="none"/>
              </w:rPr>
            </w:pPr>
            <w:r>
              <w:rPr>
                <w:rFonts w:hint="eastAsia" w:ascii="宋体" w:hAnsi="宋体" w:cs="宋体"/>
                <w:color w:val="auto"/>
                <w:kern w:val="0"/>
                <w:sz w:val="24"/>
                <w:highlight w:val="none"/>
              </w:rPr>
              <w:t>（单位）</w:t>
            </w:r>
          </w:p>
        </w:tc>
        <w:tc>
          <w:tcPr>
            <w:tcW w:w="1684" w:type="dxa"/>
            <w:noWrap/>
            <w:vAlign w:val="center"/>
          </w:tcPr>
          <w:p>
            <w:pPr>
              <w:widowControl/>
              <w:snapToGrid w:val="0"/>
              <w:spacing w:line="400" w:lineRule="exact"/>
              <w:jc w:val="center"/>
              <w:rPr>
                <w:rFonts w:ascii="宋体" w:hAnsi="宋体" w:cs="宋体"/>
                <w:color w:val="auto"/>
                <w:kern w:val="0"/>
                <w:sz w:val="24"/>
                <w:highlight w:val="none"/>
              </w:rPr>
            </w:pPr>
            <w:r>
              <w:rPr>
                <w:rFonts w:hint="eastAsia" w:ascii="宋体" w:hAnsi="宋体" w:cs="宋体"/>
                <w:color w:val="auto"/>
                <w:kern w:val="0"/>
                <w:sz w:val="24"/>
                <w:highlight w:val="none"/>
              </w:rPr>
              <w:t>项目需求</w:t>
            </w:r>
          </w:p>
        </w:tc>
        <w:tc>
          <w:tcPr>
            <w:tcW w:w="1983" w:type="dxa"/>
            <w:noWrap/>
            <w:vAlign w:val="center"/>
          </w:tcPr>
          <w:p>
            <w:pPr>
              <w:widowControl/>
              <w:snapToGrid w:val="0"/>
              <w:spacing w:line="400" w:lineRule="exact"/>
              <w:jc w:val="center"/>
              <w:rPr>
                <w:rFonts w:ascii="宋体" w:hAnsi="宋体" w:cs="宋体"/>
                <w:color w:val="auto"/>
                <w:kern w:val="0"/>
                <w:sz w:val="24"/>
                <w:highlight w:val="none"/>
              </w:rPr>
            </w:pPr>
            <w:r>
              <w:rPr>
                <w:rFonts w:hint="eastAsia" w:ascii="宋体" w:hAnsi="宋体" w:cs="宋体"/>
                <w:color w:val="auto"/>
                <w:kern w:val="0"/>
                <w:sz w:val="24"/>
                <w:highlight w:val="none"/>
              </w:rPr>
              <w:t>招标控制价（元）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2" w:hRule="atLeast"/>
          <w:jc w:val="center"/>
        </w:trPr>
        <w:tc>
          <w:tcPr>
            <w:tcW w:w="1828" w:type="dxa"/>
            <w:noWrap/>
            <w:vAlign w:val="center"/>
          </w:tcPr>
          <w:p>
            <w:pPr>
              <w:widowControl/>
              <w:snapToGrid w:val="0"/>
              <w:spacing w:line="400" w:lineRule="exact"/>
              <w:jc w:val="center"/>
              <w:rPr>
                <w:rFonts w:ascii="宋体" w:hAnsi="宋体" w:cs="宋体"/>
                <w:color w:val="auto"/>
                <w:kern w:val="0"/>
                <w:sz w:val="24"/>
                <w:highlight w:val="none"/>
              </w:rPr>
            </w:pPr>
            <w:r>
              <w:rPr>
                <w:rFonts w:hint="eastAsia" w:ascii="宋体" w:hAnsi="宋体" w:cs="宋体"/>
                <w:color w:val="auto"/>
                <w:kern w:val="0"/>
                <w:sz w:val="24"/>
                <w:highlight w:val="none"/>
              </w:rPr>
              <w:t>JXMFF20221012</w:t>
            </w:r>
          </w:p>
        </w:tc>
        <w:tc>
          <w:tcPr>
            <w:tcW w:w="2441" w:type="dxa"/>
            <w:noWrap/>
            <w:vAlign w:val="center"/>
          </w:tcPr>
          <w:p>
            <w:pPr>
              <w:widowControl/>
              <w:snapToGrid w:val="0"/>
              <w:spacing w:line="400" w:lineRule="exact"/>
              <w:jc w:val="center"/>
              <w:rPr>
                <w:rFonts w:ascii="宋体" w:hAnsi="宋体" w:cs="宋体"/>
                <w:color w:val="auto"/>
                <w:kern w:val="0"/>
                <w:sz w:val="24"/>
                <w:highlight w:val="none"/>
              </w:rPr>
            </w:pPr>
            <w:r>
              <w:rPr>
                <w:rFonts w:hint="eastAsia" w:ascii="新宋体" w:hAnsi="新宋体" w:eastAsia="新宋体" w:cs="宋体"/>
                <w:color w:val="auto"/>
                <w:sz w:val="24"/>
                <w:highlight w:val="none"/>
              </w:rPr>
              <w:t>红谷滩区慈善总会办公用房提升改造项目</w:t>
            </w:r>
          </w:p>
        </w:tc>
        <w:tc>
          <w:tcPr>
            <w:tcW w:w="1097" w:type="dxa"/>
            <w:noWrap/>
            <w:vAlign w:val="center"/>
          </w:tcPr>
          <w:p>
            <w:pPr>
              <w:widowControl/>
              <w:snapToGrid w:val="0"/>
              <w:spacing w:line="400" w:lineRule="exact"/>
              <w:jc w:val="center"/>
              <w:rPr>
                <w:rFonts w:ascii="宋体" w:hAnsi="宋体" w:cs="宋体"/>
                <w:color w:val="auto"/>
                <w:kern w:val="0"/>
                <w:sz w:val="24"/>
                <w:highlight w:val="none"/>
              </w:rPr>
            </w:pPr>
            <w:r>
              <w:rPr>
                <w:rFonts w:hint="eastAsia" w:ascii="宋体" w:hAnsi="宋体" w:cs="宋体"/>
                <w:color w:val="auto"/>
                <w:kern w:val="0"/>
                <w:sz w:val="24"/>
                <w:highlight w:val="none"/>
              </w:rPr>
              <w:t>1项</w:t>
            </w:r>
          </w:p>
        </w:tc>
        <w:tc>
          <w:tcPr>
            <w:tcW w:w="1684" w:type="dxa"/>
            <w:noWrap/>
            <w:vAlign w:val="center"/>
          </w:tcPr>
          <w:p>
            <w:pPr>
              <w:widowControl/>
              <w:snapToGrid w:val="0"/>
              <w:spacing w:line="400" w:lineRule="exact"/>
              <w:jc w:val="center"/>
              <w:rPr>
                <w:rFonts w:ascii="宋体" w:hAnsi="宋体" w:cs="宋体"/>
                <w:color w:val="auto"/>
                <w:kern w:val="0"/>
                <w:sz w:val="24"/>
                <w:highlight w:val="none"/>
              </w:rPr>
            </w:pPr>
            <w:r>
              <w:rPr>
                <w:rFonts w:hint="eastAsia" w:ascii="宋体" w:hAnsi="宋体" w:cs="宋体"/>
                <w:color w:val="auto"/>
                <w:kern w:val="0"/>
                <w:sz w:val="24"/>
                <w:highlight w:val="none"/>
              </w:rPr>
              <w:t>详见“第四章 项目需求”</w:t>
            </w:r>
          </w:p>
        </w:tc>
        <w:tc>
          <w:tcPr>
            <w:tcW w:w="1983" w:type="dxa"/>
            <w:noWrap/>
            <w:vAlign w:val="center"/>
          </w:tcPr>
          <w:p>
            <w:pPr>
              <w:widowControl/>
              <w:snapToGrid w:val="0"/>
              <w:spacing w:line="400" w:lineRule="exact"/>
              <w:jc w:val="center"/>
              <w:rPr>
                <w:color w:val="auto"/>
                <w:sz w:val="24"/>
                <w:highlight w:val="none"/>
              </w:rPr>
            </w:pPr>
            <w:r>
              <w:rPr>
                <w:rFonts w:hint="eastAsia" w:ascii="宋体" w:hAnsi="宋体" w:cs="宋体"/>
                <w:color w:val="auto"/>
                <w:kern w:val="0"/>
                <w:sz w:val="24"/>
                <w:highlight w:val="none"/>
              </w:rPr>
              <w:t>514028.51元</w:t>
            </w:r>
          </w:p>
        </w:tc>
      </w:tr>
    </w:tbl>
    <w:p>
      <w:pPr>
        <w:snapToGrid w:val="0"/>
        <w:spacing w:line="400" w:lineRule="exact"/>
        <w:outlineLvl w:val="1"/>
        <w:rPr>
          <w:rFonts w:ascii="宋体" w:hAnsi="宋体" w:cs="宋体"/>
          <w:b/>
          <w:bCs/>
          <w:color w:val="auto"/>
          <w:kern w:val="0"/>
          <w:sz w:val="24"/>
          <w:highlight w:val="none"/>
        </w:rPr>
      </w:pPr>
      <w:r>
        <w:rPr>
          <w:rFonts w:hint="eastAsia" w:ascii="宋体" w:hAnsi="宋体" w:cs="宋体"/>
          <w:b/>
          <w:bCs/>
          <w:color w:val="auto"/>
          <w:kern w:val="0"/>
          <w:sz w:val="24"/>
          <w:highlight w:val="none"/>
        </w:rPr>
        <w:t>二、项目概况</w:t>
      </w:r>
    </w:p>
    <w:p>
      <w:pPr>
        <w:pStyle w:val="48"/>
        <w:snapToGrid w:val="0"/>
        <w:spacing w:line="400" w:lineRule="exact"/>
        <w:rPr>
          <w:bCs/>
          <w:color w:val="auto"/>
          <w:highlight w:val="none"/>
        </w:rPr>
      </w:pPr>
      <w:r>
        <w:rPr>
          <w:rFonts w:hint="eastAsia" w:hAnsi="宋体" w:cs="宋体"/>
          <w:color w:val="auto"/>
          <w:highlight w:val="none"/>
        </w:rPr>
        <w:t>1、</w:t>
      </w:r>
      <w:r>
        <w:rPr>
          <w:rFonts w:hint="eastAsia"/>
          <w:bCs/>
          <w:color w:val="auto"/>
          <w:highlight w:val="none"/>
        </w:rPr>
        <w:t>项目位置：会展路545号红谷滩城投大厦12楼；</w:t>
      </w:r>
    </w:p>
    <w:p>
      <w:pPr>
        <w:pStyle w:val="48"/>
        <w:snapToGrid w:val="0"/>
        <w:spacing w:line="400" w:lineRule="exact"/>
        <w:rPr>
          <w:bCs/>
          <w:color w:val="auto"/>
          <w:highlight w:val="none"/>
        </w:rPr>
      </w:pPr>
      <w:r>
        <w:rPr>
          <w:rFonts w:hint="eastAsia"/>
          <w:bCs/>
          <w:color w:val="auto"/>
          <w:highlight w:val="none"/>
        </w:rPr>
        <w:t>2、比选范围：该提升改造项目总建筑面积约380平方米（详见施工图纸），主要内容包括办公区、会议室、接待室及相关配套功能用房提升改造，空调、智能化等配套设施改造及办公家具采购。</w:t>
      </w:r>
    </w:p>
    <w:p>
      <w:pPr>
        <w:snapToGrid w:val="0"/>
        <w:spacing w:line="400" w:lineRule="exact"/>
        <w:outlineLvl w:val="1"/>
        <w:rPr>
          <w:rFonts w:ascii="宋体" w:hAnsi="宋体" w:cs="宋体"/>
          <w:b/>
          <w:bCs/>
          <w:color w:val="auto"/>
          <w:kern w:val="0"/>
          <w:sz w:val="24"/>
          <w:highlight w:val="none"/>
        </w:rPr>
      </w:pPr>
      <w:r>
        <w:rPr>
          <w:rFonts w:hint="eastAsia" w:ascii="宋体" w:hAnsi="宋体" w:cs="宋体"/>
          <w:b/>
          <w:bCs/>
          <w:color w:val="auto"/>
          <w:kern w:val="0"/>
          <w:sz w:val="24"/>
          <w:highlight w:val="none"/>
        </w:rPr>
        <w:t>三、参选人资格要求：</w:t>
      </w:r>
    </w:p>
    <w:p>
      <w:pPr>
        <w:tabs>
          <w:tab w:val="left" w:pos="735"/>
          <w:tab w:val="left" w:pos="1418"/>
        </w:tabs>
        <w:spacing w:line="360" w:lineRule="auto"/>
        <w:rPr>
          <w:rFonts w:ascii="宋体" w:hAnsi="宋体" w:cs="宋体"/>
          <w:color w:val="auto"/>
          <w:sz w:val="24"/>
          <w:highlight w:val="none"/>
        </w:rPr>
      </w:pPr>
      <w:r>
        <w:rPr>
          <w:rFonts w:hint="eastAsia" w:ascii="宋体" w:hAnsi="宋体" w:cs="宋体"/>
          <w:color w:val="auto"/>
          <w:sz w:val="24"/>
          <w:highlight w:val="none"/>
        </w:rPr>
        <w:t>1.具有有效的企业法人营业执照；</w:t>
      </w:r>
    </w:p>
    <w:p>
      <w:pPr>
        <w:tabs>
          <w:tab w:val="left" w:pos="735"/>
          <w:tab w:val="left" w:pos="1418"/>
        </w:tabs>
        <w:spacing w:line="360" w:lineRule="auto"/>
        <w:rPr>
          <w:rFonts w:ascii="宋体" w:hAnsi="宋体" w:cs="宋体"/>
          <w:color w:val="auto"/>
          <w:sz w:val="24"/>
          <w:highlight w:val="none"/>
        </w:rPr>
      </w:pPr>
      <w:r>
        <w:rPr>
          <w:rFonts w:hint="eastAsia" w:ascii="宋体" w:hAnsi="宋体" w:cs="宋体"/>
          <w:color w:val="auto"/>
          <w:sz w:val="24"/>
          <w:highlight w:val="none"/>
        </w:rPr>
        <w:t>2.具备建设行政主管部门核发的建筑工程施工总承包叁级及以上资质或建筑装修装饰工程专业承包贰级资质；</w:t>
      </w:r>
    </w:p>
    <w:p>
      <w:pPr>
        <w:tabs>
          <w:tab w:val="left" w:pos="735"/>
          <w:tab w:val="left" w:pos="1418"/>
        </w:tabs>
        <w:spacing w:line="360" w:lineRule="auto"/>
        <w:rPr>
          <w:rFonts w:ascii="宋体" w:hAnsi="宋体" w:cs="宋体"/>
          <w:color w:val="auto"/>
          <w:sz w:val="24"/>
          <w:highlight w:val="none"/>
        </w:rPr>
      </w:pPr>
      <w:r>
        <w:rPr>
          <w:rFonts w:hint="eastAsia" w:ascii="宋体" w:hAnsi="宋体" w:cs="宋体"/>
          <w:color w:val="auto"/>
          <w:sz w:val="24"/>
          <w:highlight w:val="none"/>
        </w:rPr>
        <w:t>3.具有有效的安全生产许可证；</w:t>
      </w:r>
    </w:p>
    <w:p>
      <w:pPr>
        <w:tabs>
          <w:tab w:val="left" w:pos="735"/>
          <w:tab w:val="left" w:pos="1418"/>
        </w:tabs>
        <w:spacing w:line="360" w:lineRule="auto"/>
        <w:rPr>
          <w:rFonts w:hint="eastAsia"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4.施工负责人（施工项目经理）：具备建设行政主管部门核发的合格有效的二级注册建造师执业资格（专业：建筑工程），并持有建设行政主管部门核发的有效安全生产考核合格证书B证；</w:t>
      </w:r>
    </w:p>
    <w:p>
      <w:pPr>
        <w:tabs>
          <w:tab w:val="left" w:pos="735"/>
          <w:tab w:val="left" w:pos="1418"/>
        </w:tabs>
        <w:spacing w:line="360" w:lineRule="auto"/>
        <w:rPr>
          <w:rFonts w:ascii="宋体" w:hAnsi="宋体" w:cs="宋体"/>
          <w:color w:val="auto"/>
          <w:sz w:val="24"/>
          <w:highlight w:val="none"/>
        </w:rPr>
      </w:pPr>
      <w:r>
        <w:rPr>
          <w:rFonts w:hint="eastAsia" w:ascii="宋体" w:hAnsi="宋体" w:cs="宋体"/>
          <w:color w:val="auto"/>
          <w:sz w:val="24"/>
          <w:highlight w:val="none"/>
          <w:lang w:val="en-US" w:eastAsia="zh-CN"/>
        </w:rPr>
        <w:t>5</w:t>
      </w:r>
      <w:r>
        <w:rPr>
          <w:rFonts w:hint="eastAsia" w:ascii="宋体" w:hAnsi="宋体" w:cs="宋体"/>
          <w:color w:val="auto"/>
          <w:sz w:val="24"/>
          <w:highlight w:val="none"/>
        </w:rPr>
        <w:t>.外埠来赣施工单位根据赣建审批[2020]4号文规定在江西住建云平台省外建设工程企业进赣信息登记管理系统上办理企业信息登记并通过审核（根据赣建城镇[2021]19号文，江西住建云不再办理省外进赣施工企业单项工程投标信息登记），提供有效截图（如是）；</w:t>
      </w:r>
    </w:p>
    <w:p>
      <w:pPr>
        <w:tabs>
          <w:tab w:val="left" w:pos="735"/>
          <w:tab w:val="left" w:pos="1418"/>
        </w:tabs>
        <w:spacing w:line="360" w:lineRule="auto"/>
        <w:rPr>
          <w:rFonts w:ascii="宋体" w:hAnsi="宋体" w:cs="宋体"/>
          <w:color w:val="auto"/>
          <w:sz w:val="24"/>
          <w:highlight w:val="none"/>
        </w:rPr>
      </w:pPr>
      <w:r>
        <w:rPr>
          <w:rFonts w:hint="eastAsia" w:ascii="宋体" w:hAnsi="宋体" w:cs="宋体"/>
          <w:color w:val="auto"/>
          <w:sz w:val="24"/>
          <w:highlight w:val="none"/>
          <w:lang w:val="en-US" w:eastAsia="zh-CN"/>
        </w:rPr>
        <w:t>6</w:t>
      </w:r>
      <w:r>
        <w:rPr>
          <w:rFonts w:hint="eastAsia" w:ascii="宋体" w:hAnsi="宋体" w:cs="宋体"/>
          <w:color w:val="auto"/>
          <w:sz w:val="24"/>
          <w:highlight w:val="none"/>
        </w:rPr>
        <w:t>.提供法定代表人授权委托书（或法定代表人证明资料）原件及被授权人（或法定代表人）身份证复印件；</w:t>
      </w:r>
    </w:p>
    <w:p>
      <w:pPr>
        <w:tabs>
          <w:tab w:val="left" w:pos="735"/>
          <w:tab w:val="left" w:pos="1418"/>
        </w:tabs>
        <w:spacing w:line="360" w:lineRule="auto"/>
        <w:rPr>
          <w:rFonts w:ascii="宋体" w:hAnsi="宋体" w:cs="宋体"/>
          <w:color w:val="auto"/>
          <w:sz w:val="24"/>
          <w:highlight w:val="none"/>
        </w:rPr>
      </w:pPr>
      <w:r>
        <w:rPr>
          <w:rFonts w:hint="eastAsia" w:ascii="宋体" w:hAnsi="宋体" w:cs="宋体"/>
          <w:color w:val="auto"/>
          <w:sz w:val="24"/>
          <w:highlight w:val="none"/>
          <w:lang w:val="en-US" w:eastAsia="zh-CN"/>
        </w:rPr>
        <w:t>7</w:t>
      </w:r>
      <w:r>
        <w:rPr>
          <w:rFonts w:hint="eastAsia" w:ascii="宋体" w:hAnsi="宋体" w:cs="宋体"/>
          <w:color w:val="auto"/>
          <w:sz w:val="24"/>
          <w:highlight w:val="none"/>
        </w:rPr>
        <w:t>.投标人被“信用中国”列入失信被执行人和重大税收违法案件当事人名单的、被“中国政府采购网”网站列入政府采购严重违法失信行为记录名单（处罚期限尚未届满的），不得参与本项目的政府采购活动；</w:t>
      </w:r>
    </w:p>
    <w:p>
      <w:pPr>
        <w:tabs>
          <w:tab w:val="left" w:pos="735"/>
          <w:tab w:val="left" w:pos="1418"/>
        </w:tabs>
        <w:spacing w:line="360" w:lineRule="auto"/>
        <w:rPr>
          <w:rFonts w:ascii="宋体" w:hAnsi="宋体" w:cs="宋体"/>
          <w:color w:val="auto"/>
          <w:sz w:val="24"/>
          <w:highlight w:val="none"/>
        </w:rPr>
      </w:pPr>
      <w:r>
        <w:rPr>
          <w:rFonts w:hint="eastAsia" w:ascii="宋体" w:hAnsi="宋体" w:cs="宋体"/>
          <w:color w:val="auto"/>
          <w:sz w:val="24"/>
          <w:highlight w:val="none"/>
          <w:lang w:val="en-US" w:eastAsia="zh-CN"/>
        </w:rPr>
        <w:t>8</w:t>
      </w:r>
      <w:r>
        <w:rPr>
          <w:rFonts w:hint="eastAsia" w:ascii="宋体" w:hAnsi="宋体" w:cs="宋体"/>
          <w:color w:val="auto"/>
          <w:sz w:val="24"/>
          <w:highlight w:val="none"/>
        </w:rPr>
        <w:t>.本项目不接受联合体投标。</w:t>
      </w:r>
    </w:p>
    <w:p>
      <w:pPr>
        <w:widowControl/>
        <w:tabs>
          <w:tab w:val="left" w:pos="0"/>
        </w:tabs>
        <w:snapToGrid w:val="0"/>
        <w:spacing w:line="400" w:lineRule="exact"/>
        <w:jc w:val="left"/>
        <w:outlineLvl w:val="1"/>
        <w:rPr>
          <w:rFonts w:ascii="宋体" w:hAnsi="宋体" w:cs="宋体"/>
          <w:b/>
          <w:bCs/>
          <w:color w:val="auto"/>
          <w:kern w:val="0"/>
          <w:sz w:val="24"/>
          <w:highlight w:val="none"/>
        </w:rPr>
      </w:pPr>
      <w:r>
        <w:rPr>
          <w:rFonts w:hint="eastAsia" w:ascii="宋体" w:hAnsi="宋体" w:cs="宋体"/>
          <w:b/>
          <w:bCs/>
          <w:color w:val="auto"/>
          <w:kern w:val="0"/>
          <w:sz w:val="24"/>
          <w:highlight w:val="none"/>
        </w:rPr>
        <w:t>四、比选文件的获取：</w:t>
      </w:r>
    </w:p>
    <w:p>
      <w:pPr>
        <w:snapToGrid w:val="0"/>
        <w:spacing w:line="400" w:lineRule="exact"/>
        <w:ind w:firstLine="360" w:firstLineChars="150"/>
        <w:rPr>
          <w:rFonts w:ascii="宋体" w:hAnsi="宋体"/>
          <w:color w:val="auto"/>
          <w:sz w:val="24"/>
          <w:highlight w:val="none"/>
        </w:rPr>
      </w:pPr>
      <w:r>
        <w:rPr>
          <w:rFonts w:hint="eastAsia" w:ascii="宋体" w:hAnsi="宋体"/>
          <w:color w:val="auto"/>
          <w:sz w:val="24"/>
          <w:highlight w:val="none"/>
        </w:rPr>
        <w:t>有意向的参选人自行在南昌市红谷滩城市投资集团有限公司网站（网址：http://www.hgtct.com）下载比选文件。</w:t>
      </w:r>
    </w:p>
    <w:p>
      <w:pPr>
        <w:snapToGrid w:val="0"/>
        <w:spacing w:line="400" w:lineRule="exact"/>
        <w:outlineLvl w:val="1"/>
        <w:rPr>
          <w:rFonts w:ascii="宋体" w:hAnsi="宋体"/>
          <w:color w:val="auto"/>
          <w:sz w:val="24"/>
          <w:highlight w:val="none"/>
        </w:rPr>
      </w:pPr>
      <w:r>
        <w:rPr>
          <w:rFonts w:hint="eastAsia" w:ascii="宋体" w:hAnsi="宋体" w:cs="宋体"/>
          <w:b/>
          <w:bCs/>
          <w:color w:val="auto"/>
          <w:kern w:val="0"/>
          <w:sz w:val="24"/>
          <w:highlight w:val="none"/>
        </w:rPr>
        <w:t>五、</w:t>
      </w:r>
      <w:r>
        <w:rPr>
          <w:rFonts w:hint="eastAsia" w:ascii="宋体" w:hAnsi="宋体"/>
          <w:b/>
          <w:bCs/>
          <w:color w:val="auto"/>
          <w:sz w:val="24"/>
          <w:highlight w:val="none"/>
        </w:rPr>
        <w:t>递交</w:t>
      </w:r>
      <w:r>
        <w:rPr>
          <w:rFonts w:hint="eastAsia" w:ascii="宋体" w:hAnsi="宋体" w:cs="宋体"/>
          <w:b/>
          <w:bCs/>
          <w:color w:val="auto"/>
          <w:kern w:val="0"/>
          <w:sz w:val="24"/>
          <w:highlight w:val="none"/>
        </w:rPr>
        <w:t>参选</w:t>
      </w:r>
      <w:r>
        <w:rPr>
          <w:rFonts w:hint="eastAsia" w:ascii="宋体" w:hAnsi="宋体"/>
          <w:b/>
          <w:bCs/>
          <w:color w:val="auto"/>
          <w:sz w:val="24"/>
          <w:highlight w:val="none"/>
        </w:rPr>
        <w:t>文件截止时间及比选地点：</w:t>
      </w:r>
    </w:p>
    <w:p>
      <w:pPr>
        <w:widowControl/>
        <w:snapToGrid w:val="0"/>
        <w:spacing w:line="400" w:lineRule="exact"/>
        <w:jc w:val="left"/>
        <w:rPr>
          <w:rFonts w:ascii="宋体" w:hAnsi="宋体" w:cs="宋体"/>
          <w:color w:val="auto"/>
          <w:kern w:val="0"/>
          <w:sz w:val="24"/>
          <w:highlight w:val="none"/>
        </w:rPr>
      </w:pPr>
      <w:r>
        <w:rPr>
          <w:rFonts w:hint="eastAsia" w:ascii="宋体" w:hAnsi="宋体" w:cs="宋体"/>
          <w:color w:val="auto"/>
          <w:kern w:val="0"/>
          <w:sz w:val="24"/>
          <w:highlight w:val="none"/>
        </w:rPr>
        <w:t>1、递交参选文件截止时间和比选时间为2022年</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u w:val="single"/>
          <w:lang w:val="en-US" w:eastAsia="zh-CN"/>
        </w:rPr>
        <w:t>11</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rPr>
        <w:t>月</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u w:val="single"/>
          <w:lang w:val="en-US" w:eastAsia="zh-CN"/>
        </w:rPr>
        <w:t>24</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rPr>
        <w:t>日</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u w:val="single"/>
          <w:lang w:val="en-US" w:eastAsia="zh-CN"/>
        </w:rPr>
        <w:t>14</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rPr>
        <w:t>时</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u w:val="single"/>
          <w:lang w:val="en-US" w:eastAsia="zh-CN"/>
        </w:rPr>
        <w:t>30</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rPr>
        <w:t>分（北京时间）。</w:t>
      </w:r>
    </w:p>
    <w:p>
      <w:pPr>
        <w:widowControl/>
        <w:snapToGrid w:val="0"/>
        <w:spacing w:line="400" w:lineRule="exact"/>
        <w:jc w:val="left"/>
        <w:rPr>
          <w:rFonts w:ascii="宋体" w:hAnsi="宋体" w:cs="宋体"/>
          <w:color w:val="auto"/>
          <w:kern w:val="0"/>
          <w:sz w:val="24"/>
          <w:highlight w:val="none"/>
        </w:rPr>
      </w:pPr>
      <w:r>
        <w:rPr>
          <w:rFonts w:hint="eastAsia" w:ascii="宋体" w:hAnsi="宋体" w:cs="宋体"/>
          <w:color w:val="auto"/>
          <w:kern w:val="0"/>
          <w:sz w:val="24"/>
          <w:highlight w:val="none"/>
        </w:rPr>
        <w:t>2、比选地点：</w:t>
      </w:r>
      <w:r>
        <w:rPr>
          <w:rFonts w:hint="eastAsia" w:ascii="宋体" w:hAnsi="宋体"/>
          <w:color w:val="auto"/>
          <w:sz w:val="24"/>
          <w:highlight w:val="none"/>
        </w:rPr>
        <w:t>南昌市红谷滩区丰和中大道1318号南昌建设大厦8楼</w:t>
      </w:r>
      <w:r>
        <w:rPr>
          <w:rFonts w:hint="eastAsia" w:ascii="宋体" w:hAnsi="宋体" w:cs="宋体"/>
          <w:color w:val="auto"/>
          <w:kern w:val="0"/>
          <w:sz w:val="24"/>
          <w:highlight w:val="none"/>
        </w:rPr>
        <w:t xml:space="preserve">。 </w:t>
      </w:r>
    </w:p>
    <w:p>
      <w:pPr>
        <w:widowControl/>
        <w:snapToGrid w:val="0"/>
        <w:spacing w:line="400" w:lineRule="exact"/>
        <w:jc w:val="left"/>
        <w:outlineLvl w:val="1"/>
        <w:rPr>
          <w:rFonts w:ascii="宋体" w:hAnsi="宋体" w:cs="宋体"/>
          <w:b/>
          <w:bCs/>
          <w:color w:val="auto"/>
          <w:kern w:val="0"/>
          <w:sz w:val="24"/>
          <w:highlight w:val="none"/>
        </w:rPr>
      </w:pPr>
      <w:r>
        <w:rPr>
          <w:rFonts w:hint="eastAsia" w:ascii="宋体" w:hAnsi="宋体" w:cs="宋体"/>
          <w:b/>
          <w:bCs/>
          <w:color w:val="auto"/>
          <w:kern w:val="0"/>
          <w:sz w:val="24"/>
          <w:highlight w:val="none"/>
        </w:rPr>
        <w:t>六、联系方式：</w:t>
      </w:r>
    </w:p>
    <w:p>
      <w:pPr>
        <w:snapToGrid w:val="0"/>
        <w:spacing w:line="400" w:lineRule="exact"/>
        <w:rPr>
          <w:rFonts w:ascii="宋体" w:hAnsi="宋体" w:cs="宋体"/>
          <w:color w:val="auto"/>
          <w:kern w:val="0"/>
          <w:sz w:val="24"/>
          <w:highlight w:val="none"/>
        </w:rPr>
      </w:pPr>
      <w:r>
        <w:rPr>
          <w:rFonts w:hint="eastAsia" w:ascii="宋体" w:hAnsi="宋体" w:cs="宋体"/>
          <w:color w:val="auto"/>
          <w:kern w:val="0"/>
          <w:sz w:val="24"/>
          <w:highlight w:val="none"/>
        </w:rPr>
        <w:t>比选人名称：南昌红润项目管理有限公司</w:t>
      </w:r>
    </w:p>
    <w:p>
      <w:pPr>
        <w:snapToGrid w:val="0"/>
        <w:spacing w:line="400" w:lineRule="exact"/>
        <w:rPr>
          <w:rFonts w:ascii="宋体" w:hAnsi="宋体"/>
          <w:color w:val="auto"/>
          <w:sz w:val="24"/>
          <w:highlight w:val="none"/>
        </w:rPr>
      </w:pPr>
      <w:r>
        <w:rPr>
          <w:rFonts w:hint="eastAsia" w:ascii="宋体" w:hAnsi="宋体" w:cs="宋体"/>
          <w:color w:val="auto"/>
          <w:kern w:val="0"/>
          <w:sz w:val="24"/>
          <w:highlight w:val="none"/>
        </w:rPr>
        <w:t>比选人地址：江西省南昌市红谷滩会展路545号</w:t>
      </w:r>
    </w:p>
    <w:p>
      <w:pPr>
        <w:snapToGrid w:val="0"/>
        <w:spacing w:line="400" w:lineRule="exact"/>
        <w:rPr>
          <w:rFonts w:ascii="宋体" w:hAnsi="宋体"/>
          <w:color w:val="auto"/>
          <w:sz w:val="24"/>
          <w:highlight w:val="none"/>
        </w:rPr>
      </w:pPr>
    </w:p>
    <w:p>
      <w:pPr>
        <w:snapToGrid w:val="0"/>
        <w:spacing w:line="400" w:lineRule="exact"/>
        <w:rPr>
          <w:rFonts w:ascii="宋体" w:hAnsi="宋体"/>
          <w:color w:val="auto"/>
          <w:sz w:val="24"/>
          <w:highlight w:val="none"/>
        </w:rPr>
      </w:pPr>
      <w:r>
        <w:rPr>
          <w:rFonts w:hint="eastAsia" w:ascii="宋体" w:hAnsi="宋体"/>
          <w:color w:val="auto"/>
          <w:sz w:val="24"/>
          <w:highlight w:val="none"/>
        </w:rPr>
        <w:t xml:space="preserve">招标代理机构名称：江西明法招标有限公司 </w:t>
      </w:r>
    </w:p>
    <w:p>
      <w:pPr>
        <w:snapToGrid w:val="0"/>
        <w:spacing w:line="400" w:lineRule="exact"/>
        <w:rPr>
          <w:rFonts w:ascii="宋体" w:hAnsi="宋体"/>
          <w:color w:val="auto"/>
          <w:sz w:val="24"/>
          <w:highlight w:val="none"/>
        </w:rPr>
      </w:pPr>
      <w:r>
        <w:rPr>
          <w:rFonts w:hint="eastAsia" w:ascii="宋体" w:hAnsi="宋体"/>
          <w:color w:val="auto"/>
          <w:sz w:val="24"/>
          <w:highlight w:val="none"/>
        </w:rPr>
        <w:t>详细地址：南昌市红谷滩区丰和中大道1318号南昌建设大厦8楼</w:t>
      </w:r>
    </w:p>
    <w:p>
      <w:pPr>
        <w:snapToGrid w:val="0"/>
        <w:spacing w:line="400" w:lineRule="exact"/>
        <w:rPr>
          <w:rFonts w:ascii="宋体" w:hAnsi="宋体"/>
          <w:color w:val="auto"/>
          <w:sz w:val="24"/>
          <w:highlight w:val="none"/>
        </w:rPr>
      </w:pPr>
      <w:r>
        <w:rPr>
          <w:rFonts w:hint="eastAsia" w:ascii="宋体" w:hAnsi="宋体"/>
          <w:color w:val="auto"/>
          <w:sz w:val="24"/>
          <w:highlight w:val="none"/>
        </w:rPr>
        <w:t>联 系 人：吴振华 电话：</w:t>
      </w:r>
      <w:r>
        <w:rPr>
          <w:rFonts w:hint="eastAsia" w:ascii="宋体" w:hAnsi="宋体" w:cs="宋体"/>
          <w:color w:val="auto"/>
          <w:kern w:val="0"/>
          <w:sz w:val="24"/>
          <w:highlight w:val="none"/>
        </w:rPr>
        <w:t>15970604995</w:t>
      </w:r>
    </w:p>
    <w:p>
      <w:pPr>
        <w:snapToGrid w:val="0"/>
        <w:spacing w:line="400" w:lineRule="exact"/>
        <w:rPr>
          <w:rFonts w:ascii="宋体" w:hAnsi="宋体"/>
          <w:color w:val="auto"/>
          <w:sz w:val="24"/>
          <w:highlight w:val="none"/>
        </w:rPr>
      </w:pPr>
      <w:r>
        <w:rPr>
          <w:rFonts w:hint="eastAsia" w:ascii="宋体" w:hAnsi="宋体"/>
          <w:color w:val="auto"/>
          <w:sz w:val="24"/>
          <w:highlight w:val="none"/>
        </w:rPr>
        <w:t xml:space="preserve">邮    箱:jxfmf2022@163.com  </w:t>
      </w:r>
    </w:p>
    <w:p>
      <w:pPr>
        <w:pStyle w:val="46"/>
        <w:rPr>
          <w:color w:val="auto"/>
          <w:highlight w:val="none"/>
        </w:rPr>
        <w:sectPr>
          <w:footerReference r:id="rId4" w:type="default"/>
          <w:pgSz w:w="11906" w:h="16838"/>
          <w:pgMar w:top="1701" w:right="1376" w:bottom="1134" w:left="1710" w:header="851" w:footer="754" w:gutter="0"/>
          <w:pgNumType w:start="1"/>
          <w:cols w:space="720" w:num="1"/>
          <w:docGrid w:type="lines" w:linePitch="318" w:charSpace="0"/>
        </w:sectPr>
      </w:pPr>
    </w:p>
    <w:p>
      <w:pPr>
        <w:pStyle w:val="6"/>
        <w:numPr>
          <w:ilvl w:val="0"/>
          <w:numId w:val="2"/>
        </w:numPr>
        <w:spacing w:line="360" w:lineRule="exact"/>
        <w:ind w:left="1321" w:hanging="1083"/>
        <w:jc w:val="center"/>
        <w:rPr>
          <w:rFonts w:ascii="宋体" w:hAnsi="宋体"/>
          <w:color w:val="auto"/>
          <w:sz w:val="30"/>
          <w:szCs w:val="30"/>
          <w:highlight w:val="none"/>
        </w:rPr>
      </w:pPr>
      <w:bookmarkStart w:id="1" w:name="_Toc25282"/>
      <w:r>
        <w:rPr>
          <w:rFonts w:hint="eastAsia" w:ascii="宋体" w:hAnsi="宋体"/>
          <w:color w:val="auto"/>
          <w:sz w:val="30"/>
          <w:szCs w:val="30"/>
          <w:highlight w:val="none"/>
        </w:rPr>
        <w:t>参选人须知</w:t>
      </w:r>
      <w:bookmarkEnd w:id="1"/>
    </w:p>
    <w:tbl>
      <w:tblPr>
        <w:tblStyle w:val="26"/>
        <w:tblW w:w="9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5"/>
        <w:gridCol w:w="8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9520" w:type="dxa"/>
            <w:gridSpan w:val="2"/>
            <w:noWrap/>
            <w:vAlign w:val="center"/>
          </w:tcPr>
          <w:p>
            <w:pPr>
              <w:spacing w:line="400" w:lineRule="exact"/>
              <w:jc w:val="center"/>
              <w:rPr>
                <w:rFonts w:ascii="宋体" w:hAnsi="宋体" w:cs="宋体"/>
                <w:b/>
                <w:color w:val="auto"/>
                <w:sz w:val="24"/>
                <w:highlight w:val="none"/>
              </w:rPr>
            </w:pPr>
            <w:r>
              <w:rPr>
                <w:rFonts w:hint="eastAsia" w:ascii="宋体" w:hAnsi="宋体" w:cs="宋体"/>
                <w:b/>
                <w:color w:val="auto"/>
                <w:sz w:val="24"/>
                <w:highlight w:val="none"/>
              </w:rPr>
              <w:t>参选人须知前附表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5" w:type="dxa"/>
            <w:noWrap/>
            <w:vAlign w:val="center"/>
          </w:tcPr>
          <w:p>
            <w:pPr>
              <w:spacing w:line="400" w:lineRule="exact"/>
              <w:jc w:val="center"/>
              <w:rPr>
                <w:rFonts w:ascii="宋体" w:hAnsi="宋体" w:cs="宋体"/>
                <w:b/>
                <w:color w:val="auto"/>
                <w:sz w:val="24"/>
                <w:highlight w:val="none"/>
              </w:rPr>
            </w:pPr>
            <w:r>
              <w:rPr>
                <w:rFonts w:hint="eastAsia" w:ascii="宋体" w:hAnsi="宋体" w:cs="宋体"/>
                <w:b/>
                <w:color w:val="auto"/>
                <w:sz w:val="24"/>
                <w:highlight w:val="none"/>
              </w:rPr>
              <w:t>序号</w:t>
            </w:r>
          </w:p>
        </w:tc>
        <w:tc>
          <w:tcPr>
            <w:tcW w:w="8795" w:type="dxa"/>
            <w:noWrap/>
            <w:vAlign w:val="center"/>
          </w:tcPr>
          <w:p>
            <w:pPr>
              <w:spacing w:line="400" w:lineRule="exact"/>
              <w:jc w:val="center"/>
              <w:rPr>
                <w:rFonts w:ascii="宋体" w:hAnsi="宋体" w:cs="宋体"/>
                <w:b/>
                <w:color w:val="auto"/>
                <w:sz w:val="24"/>
                <w:highlight w:val="none"/>
              </w:rPr>
            </w:pPr>
            <w:r>
              <w:rPr>
                <w:rFonts w:hint="eastAsia" w:ascii="宋体" w:hAnsi="宋体" w:cs="宋体"/>
                <w:b/>
                <w:color w:val="auto"/>
                <w:sz w:val="24"/>
                <w:highlight w:val="none"/>
              </w:rPr>
              <w:t>内      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2" w:hRule="atLeast"/>
          <w:jc w:val="center"/>
        </w:trPr>
        <w:tc>
          <w:tcPr>
            <w:tcW w:w="725" w:type="dxa"/>
            <w:noWrap/>
            <w:vAlign w:val="center"/>
          </w:tcPr>
          <w:p>
            <w:pPr>
              <w:spacing w:line="400" w:lineRule="exact"/>
              <w:jc w:val="center"/>
              <w:rPr>
                <w:rFonts w:ascii="宋体" w:hAnsi="宋体" w:cs="宋体"/>
                <w:color w:val="auto"/>
                <w:sz w:val="24"/>
                <w:highlight w:val="none"/>
              </w:rPr>
            </w:pPr>
            <w:r>
              <w:rPr>
                <w:rFonts w:hint="eastAsia" w:ascii="宋体" w:hAnsi="宋体" w:cs="宋体"/>
                <w:color w:val="auto"/>
                <w:sz w:val="24"/>
                <w:highlight w:val="none"/>
              </w:rPr>
              <w:t>1</w:t>
            </w:r>
          </w:p>
        </w:tc>
        <w:tc>
          <w:tcPr>
            <w:tcW w:w="8795" w:type="dxa"/>
            <w:noWrap/>
            <w:vAlign w:val="center"/>
          </w:tcPr>
          <w:p>
            <w:pPr>
              <w:widowControl/>
              <w:tabs>
                <w:tab w:val="left" w:pos="0"/>
              </w:tabs>
              <w:spacing w:line="440" w:lineRule="exact"/>
              <w:jc w:val="left"/>
              <w:rPr>
                <w:rFonts w:ascii="宋体" w:hAnsi="宋体" w:cs="宋体"/>
                <w:color w:val="auto"/>
                <w:kern w:val="0"/>
                <w:sz w:val="24"/>
                <w:highlight w:val="none"/>
              </w:rPr>
            </w:pPr>
            <w:r>
              <w:rPr>
                <w:rFonts w:hint="eastAsia" w:ascii="宋体" w:hAnsi="宋体" w:cs="宋体"/>
                <w:color w:val="auto"/>
                <w:kern w:val="0"/>
                <w:sz w:val="24"/>
                <w:highlight w:val="none"/>
              </w:rPr>
              <w:t>项目名称：</w:t>
            </w:r>
            <w:r>
              <w:rPr>
                <w:rFonts w:hint="eastAsia" w:ascii="新宋体" w:hAnsi="新宋体" w:eastAsia="新宋体" w:cs="宋体"/>
                <w:color w:val="auto"/>
                <w:sz w:val="24"/>
                <w:highlight w:val="none"/>
              </w:rPr>
              <w:t>红谷滩区慈善总会办公用房提升改造项目</w:t>
            </w:r>
          </w:p>
          <w:p>
            <w:pPr>
              <w:widowControl/>
              <w:tabs>
                <w:tab w:val="left" w:pos="0"/>
              </w:tabs>
              <w:spacing w:line="440" w:lineRule="exact"/>
              <w:jc w:val="left"/>
              <w:rPr>
                <w:rFonts w:ascii="宋体" w:hAnsi="宋体" w:cs="宋体"/>
                <w:color w:val="auto"/>
                <w:kern w:val="0"/>
                <w:sz w:val="24"/>
                <w:highlight w:val="none"/>
              </w:rPr>
            </w:pPr>
            <w:r>
              <w:rPr>
                <w:rFonts w:hint="eastAsia" w:ascii="宋体" w:hAnsi="宋体" w:cs="宋体"/>
                <w:color w:val="auto"/>
                <w:kern w:val="0"/>
                <w:sz w:val="24"/>
                <w:highlight w:val="none"/>
              </w:rPr>
              <w:t>项目编号：JXMFF20221012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1" w:hRule="atLeast"/>
          <w:jc w:val="center"/>
        </w:trPr>
        <w:tc>
          <w:tcPr>
            <w:tcW w:w="725" w:type="dxa"/>
            <w:noWrap/>
            <w:vAlign w:val="center"/>
          </w:tcPr>
          <w:p>
            <w:pPr>
              <w:spacing w:line="400" w:lineRule="exact"/>
              <w:jc w:val="center"/>
              <w:rPr>
                <w:rFonts w:ascii="宋体" w:hAnsi="宋体" w:cs="宋体"/>
                <w:color w:val="auto"/>
                <w:sz w:val="24"/>
                <w:highlight w:val="none"/>
              </w:rPr>
            </w:pPr>
            <w:r>
              <w:rPr>
                <w:rFonts w:hint="eastAsia" w:ascii="宋体" w:hAnsi="宋体" w:cs="宋体"/>
                <w:color w:val="auto"/>
                <w:sz w:val="24"/>
                <w:highlight w:val="none"/>
              </w:rPr>
              <w:t>2</w:t>
            </w:r>
          </w:p>
        </w:tc>
        <w:tc>
          <w:tcPr>
            <w:tcW w:w="8795" w:type="dxa"/>
            <w:noWrap/>
            <w:vAlign w:val="center"/>
          </w:tcPr>
          <w:p>
            <w:pPr>
              <w:spacing w:line="360" w:lineRule="auto"/>
              <w:rPr>
                <w:rFonts w:ascii="宋体" w:hAnsi="宋体" w:cs="宋体"/>
                <w:color w:val="auto"/>
                <w:sz w:val="24"/>
                <w:highlight w:val="none"/>
              </w:rPr>
            </w:pPr>
            <w:r>
              <w:rPr>
                <w:rFonts w:hint="eastAsia" w:ascii="宋体" w:hAnsi="宋体"/>
                <w:color w:val="auto"/>
                <w:sz w:val="24"/>
                <w:highlight w:val="none"/>
              </w:rPr>
              <w:t>比选</w:t>
            </w:r>
            <w:r>
              <w:rPr>
                <w:rFonts w:hint="eastAsia" w:ascii="宋体" w:hAnsi="宋体" w:cs="宋体"/>
                <w:color w:val="auto"/>
                <w:sz w:val="24"/>
                <w:highlight w:val="none"/>
              </w:rPr>
              <w:t>人名称：南昌红润项目管理有限公司</w:t>
            </w:r>
          </w:p>
          <w:p>
            <w:pPr>
              <w:widowControl/>
              <w:wordWrap w:val="0"/>
              <w:jc w:val="left"/>
              <w:rPr>
                <w:rFonts w:ascii="宋体" w:hAnsi="宋体" w:cs="宋体"/>
                <w:color w:val="auto"/>
                <w:kern w:val="0"/>
                <w:sz w:val="24"/>
                <w:highlight w:val="none"/>
              </w:rPr>
            </w:pPr>
            <w:r>
              <w:rPr>
                <w:rFonts w:hint="eastAsia" w:ascii="宋体" w:hAnsi="宋体"/>
                <w:color w:val="auto"/>
                <w:sz w:val="24"/>
                <w:highlight w:val="none"/>
              </w:rPr>
              <w:t>比选</w:t>
            </w:r>
            <w:r>
              <w:rPr>
                <w:rFonts w:hint="eastAsia" w:ascii="宋体" w:hAnsi="宋体" w:cs="宋体"/>
                <w:color w:val="auto"/>
                <w:sz w:val="24"/>
                <w:highlight w:val="none"/>
              </w:rPr>
              <w:t>人地址：江西省南昌市红谷滩会展路545号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3" w:hRule="atLeast"/>
          <w:jc w:val="center"/>
        </w:trPr>
        <w:tc>
          <w:tcPr>
            <w:tcW w:w="725" w:type="dxa"/>
            <w:noWrap/>
            <w:vAlign w:val="center"/>
          </w:tcPr>
          <w:p>
            <w:pPr>
              <w:spacing w:line="400" w:lineRule="exact"/>
              <w:jc w:val="center"/>
              <w:rPr>
                <w:rFonts w:ascii="宋体" w:hAnsi="宋体" w:cs="宋体"/>
                <w:color w:val="auto"/>
                <w:sz w:val="24"/>
                <w:highlight w:val="none"/>
              </w:rPr>
            </w:pPr>
            <w:r>
              <w:rPr>
                <w:rFonts w:hint="eastAsia" w:ascii="宋体" w:hAnsi="宋体" w:cs="宋体"/>
                <w:color w:val="auto"/>
                <w:sz w:val="24"/>
                <w:highlight w:val="none"/>
              </w:rPr>
              <w:t>3</w:t>
            </w:r>
          </w:p>
        </w:tc>
        <w:tc>
          <w:tcPr>
            <w:tcW w:w="8795" w:type="dxa"/>
            <w:noWrap/>
            <w:vAlign w:val="center"/>
          </w:tcPr>
          <w:p>
            <w:pPr>
              <w:widowControl/>
              <w:tabs>
                <w:tab w:val="left" w:pos="0"/>
              </w:tabs>
              <w:spacing w:line="440" w:lineRule="exact"/>
              <w:jc w:val="left"/>
              <w:rPr>
                <w:rFonts w:ascii="宋体" w:hAnsi="宋体" w:cs="宋体"/>
                <w:color w:val="auto"/>
                <w:kern w:val="0"/>
                <w:sz w:val="24"/>
                <w:highlight w:val="none"/>
              </w:rPr>
            </w:pPr>
            <w:r>
              <w:rPr>
                <w:rFonts w:hint="eastAsia" w:ascii="宋体" w:hAnsi="宋体" w:cs="宋体"/>
                <w:color w:val="auto"/>
                <w:kern w:val="0"/>
                <w:sz w:val="24"/>
                <w:highlight w:val="none"/>
              </w:rPr>
              <w:t>招标代理机构：江西明法招标有限公司</w:t>
            </w:r>
          </w:p>
          <w:p>
            <w:pPr>
              <w:widowControl/>
              <w:tabs>
                <w:tab w:val="left" w:pos="0"/>
              </w:tabs>
              <w:spacing w:line="440" w:lineRule="exact"/>
              <w:jc w:val="left"/>
              <w:rPr>
                <w:rFonts w:ascii="宋体" w:hAnsi="宋体"/>
                <w:color w:val="auto"/>
                <w:sz w:val="24"/>
                <w:highlight w:val="none"/>
              </w:rPr>
            </w:pPr>
            <w:r>
              <w:rPr>
                <w:rFonts w:hint="eastAsia" w:ascii="宋体" w:hAnsi="宋体" w:cs="宋体"/>
                <w:color w:val="auto"/>
                <w:kern w:val="0"/>
                <w:sz w:val="24"/>
                <w:highlight w:val="none"/>
              </w:rPr>
              <w:t>地     址：</w:t>
            </w:r>
            <w:r>
              <w:rPr>
                <w:rFonts w:hint="eastAsia" w:ascii="宋体" w:hAnsi="宋体"/>
                <w:color w:val="auto"/>
                <w:sz w:val="24"/>
                <w:highlight w:val="none"/>
              </w:rPr>
              <w:t>南昌市红谷滩区丰和中大道1318号南昌建设大厦8楼</w:t>
            </w:r>
          </w:p>
          <w:p>
            <w:pPr>
              <w:widowControl/>
              <w:tabs>
                <w:tab w:val="left" w:pos="0"/>
              </w:tabs>
              <w:spacing w:line="440" w:lineRule="exact"/>
              <w:jc w:val="left"/>
              <w:rPr>
                <w:rFonts w:ascii="宋体" w:hAnsi="宋体" w:cs="宋体"/>
                <w:color w:val="auto"/>
                <w:kern w:val="0"/>
                <w:sz w:val="24"/>
                <w:highlight w:val="none"/>
              </w:rPr>
            </w:pPr>
            <w:r>
              <w:rPr>
                <w:rFonts w:hint="eastAsia" w:ascii="宋体" w:hAnsi="宋体" w:cs="宋体"/>
                <w:color w:val="auto"/>
                <w:kern w:val="0"/>
                <w:sz w:val="24"/>
                <w:highlight w:val="none"/>
              </w:rPr>
              <w:t>联  系 人：吴振华      电 话：15970604995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725" w:type="dxa"/>
            <w:noWrap/>
            <w:vAlign w:val="center"/>
          </w:tcPr>
          <w:p>
            <w:pPr>
              <w:spacing w:line="400" w:lineRule="exact"/>
              <w:jc w:val="center"/>
              <w:rPr>
                <w:rFonts w:ascii="宋体" w:hAnsi="宋体" w:cs="宋体"/>
                <w:color w:val="auto"/>
                <w:sz w:val="24"/>
                <w:highlight w:val="none"/>
              </w:rPr>
            </w:pPr>
            <w:r>
              <w:rPr>
                <w:rFonts w:hint="eastAsia" w:ascii="宋体" w:hAnsi="宋体" w:cs="宋体"/>
                <w:color w:val="auto"/>
                <w:sz w:val="24"/>
                <w:highlight w:val="none"/>
              </w:rPr>
              <w:t>4</w:t>
            </w:r>
          </w:p>
        </w:tc>
        <w:tc>
          <w:tcPr>
            <w:tcW w:w="8795" w:type="dxa"/>
            <w:noWrap/>
            <w:vAlign w:val="center"/>
          </w:tcPr>
          <w:p>
            <w:pPr>
              <w:spacing w:line="440" w:lineRule="exact"/>
              <w:rPr>
                <w:rFonts w:ascii="宋体" w:hAnsi="宋体" w:cs="宋体"/>
                <w:color w:val="auto"/>
                <w:sz w:val="24"/>
                <w:highlight w:val="none"/>
              </w:rPr>
            </w:pPr>
            <w:r>
              <w:rPr>
                <w:rFonts w:hint="eastAsia" w:ascii="宋体" w:hAnsi="宋体" w:cs="宋体"/>
                <w:color w:val="auto"/>
                <w:sz w:val="24"/>
                <w:highlight w:val="none"/>
              </w:rPr>
              <w:t>参选人资格要求：详见“第一章 比选公告</w:t>
            </w:r>
            <w:r>
              <w:rPr>
                <w:rFonts w:hint="eastAsia" w:ascii="宋体" w:hAnsi="宋体" w:cs="宋体"/>
                <w:color w:val="auto"/>
                <w:kern w:val="0"/>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725" w:type="dxa"/>
            <w:noWrap/>
            <w:vAlign w:val="center"/>
          </w:tcPr>
          <w:p>
            <w:pPr>
              <w:spacing w:line="400" w:lineRule="exact"/>
              <w:jc w:val="center"/>
              <w:rPr>
                <w:rFonts w:ascii="宋体" w:hAnsi="宋体" w:cs="宋体"/>
                <w:color w:val="auto"/>
                <w:sz w:val="24"/>
                <w:highlight w:val="none"/>
              </w:rPr>
            </w:pPr>
            <w:r>
              <w:rPr>
                <w:rFonts w:hint="eastAsia" w:ascii="宋体" w:hAnsi="宋体" w:cs="宋体"/>
                <w:color w:val="auto"/>
                <w:sz w:val="24"/>
                <w:highlight w:val="none"/>
              </w:rPr>
              <w:t>5</w:t>
            </w:r>
          </w:p>
        </w:tc>
        <w:tc>
          <w:tcPr>
            <w:tcW w:w="8795" w:type="dxa"/>
            <w:noWrap/>
            <w:vAlign w:val="center"/>
          </w:tcPr>
          <w:p>
            <w:pPr>
              <w:spacing w:line="400" w:lineRule="exact"/>
              <w:rPr>
                <w:rFonts w:ascii="宋体" w:hAnsi="宋体" w:cs="宋体"/>
                <w:color w:val="auto"/>
                <w:sz w:val="24"/>
                <w:highlight w:val="none"/>
              </w:rPr>
            </w:pPr>
            <w:r>
              <w:rPr>
                <w:rFonts w:hint="eastAsia" w:ascii="宋体" w:hAnsi="宋体" w:cs="宋体"/>
                <w:color w:val="auto"/>
                <w:sz w:val="24"/>
                <w:highlight w:val="none"/>
              </w:rPr>
              <w:t>比选范围：详见“第一章 比选公告</w:t>
            </w:r>
            <w:r>
              <w:rPr>
                <w:rFonts w:hint="eastAsia" w:ascii="宋体" w:hAnsi="宋体" w:cs="宋体"/>
                <w:color w:val="auto"/>
                <w:kern w:val="0"/>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25" w:type="dxa"/>
            <w:noWrap/>
            <w:vAlign w:val="center"/>
          </w:tcPr>
          <w:p>
            <w:pPr>
              <w:spacing w:line="400" w:lineRule="exact"/>
              <w:jc w:val="center"/>
              <w:rPr>
                <w:rFonts w:ascii="宋体" w:hAnsi="宋体" w:cs="宋体"/>
                <w:color w:val="auto"/>
                <w:sz w:val="24"/>
                <w:highlight w:val="none"/>
              </w:rPr>
            </w:pPr>
            <w:r>
              <w:rPr>
                <w:rFonts w:hint="eastAsia" w:ascii="宋体" w:hAnsi="宋体" w:cs="宋体"/>
                <w:color w:val="auto"/>
                <w:sz w:val="24"/>
                <w:highlight w:val="none"/>
              </w:rPr>
              <w:t>6</w:t>
            </w:r>
          </w:p>
        </w:tc>
        <w:tc>
          <w:tcPr>
            <w:tcW w:w="8795" w:type="dxa"/>
            <w:noWrap/>
            <w:vAlign w:val="center"/>
          </w:tcPr>
          <w:p>
            <w:pPr>
              <w:spacing w:line="400" w:lineRule="exact"/>
              <w:rPr>
                <w:rFonts w:ascii="宋体" w:hAnsi="宋体" w:cs="宋体"/>
                <w:color w:val="auto"/>
                <w:sz w:val="24"/>
                <w:highlight w:val="none"/>
              </w:rPr>
            </w:pPr>
            <w:r>
              <w:rPr>
                <w:rFonts w:hint="eastAsia" w:ascii="宋体" w:hAnsi="宋体" w:cs="宋体"/>
                <w:color w:val="auto"/>
                <w:sz w:val="24"/>
                <w:highlight w:val="none"/>
              </w:rPr>
              <w:t>参选有效期：</w:t>
            </w:r>
            <w:r>
              <w:rPr>
                <w:rFonts w:hint="eastAsia" w:ascii="宋体" w:hAnsi="宋体"/>
                <w:color w:val="auto"/>
                <w:sz w:val="24"/>
                <w:highlight w:val="none"/>
              </w:rPr>
              <w:t>自比选之日起90个日历日内保持有效。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25" w:type="dxa"/>
            <w:noWrap/>
            <w:vAlign w:val="center"/>
          </w:tcPr>
          <w:p>
            <w:pPr>
              <w:spacing w:line="400" w:lineRule="exact"/>
              <w:jc w:val="center"/>
              <w:rPr>
                <w:rFonts w:ascii="宋体" w:hAnsi="宋体" w:cs="宋体"/>
                <w:color w:val="auto"/>
                <w:sz w:val="24"/>
                <w:highlight w:val="none"/>
              </w:rPr>
            </w:pPr>
            <w:r>
              <w:rPr>
                <w:rFonts w:hint="eastAsia" w:ascii="宋体" w:hAnsi="宋体" w:cs="宋体"/>
                <w:color w:val="auto"/>
                <w:sz w:val="24"/>
                <w:highlight w:val="none"/>
              </w:rPr>
              <w:t>7</w:t>
            </w:r>
          </w:p>
        </w:tc>
        <w:tc>
          <w:tcPr>
            <w:tcW w:w="8795" w:type="dxa"/>
            <w:noWrap/>
            <w:vAlign w:val="center"/>
          </w:tcPr>
          <w:p>
            <w:pPr>
              <w:spacing w:line="400" w:lineRule="exact"/>
              <w:rPr>
                <w:rFonts w:ascii="宋体" w:hAnsi="宋体" w:cs="宋体"/>
                <w:color w:val="auto"/>
                <w:sz w:val="24"/>
                <w:highlight w:val="none"/>
              </w:rPr>
            </w:pPr>
            <w:bookmarkStart w:id="2" w:name="EB01742555aa094a088c434afd76953319"/>
            <w:r>
              <w:rPr>
                <w:rFonts w:hint="eastAsia" w:ascii="宋体" w:hAnsi="宋体"/>
                <w:color w:val="auto"/>
                <w:sz w:val="24"/>
                <w:highlight w:val="none"/>
              </w:rPr>
              <w:t>工期：</w:t>
            </w:r>
            <w:bookmarkEnd w:id="2"/>
            <w:r>
              <w:rPr>
                <w:rFonts w:hint="eastAsia" w:ascii="宋体" w:hAnsi="宋体"/>
                <w:color w:val="auto"/>
                <w:sz w:val="24"/>
                <w:highlight w:val="none"/>
                <w:u w:val="single"/>
              </w:rPr>
              <w:t>1个月</w:t>
            </w:r>
            <w:r>
              <w:rPr>
                <w:rFonts w:hint="eastAsia" w:ascii="宋体" w:hAnsi="宋体"/>
                <w:color w:val="auto"/>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725" w:type="dxa"/>
            <w:noWrap/>
            <w:vAlign w:val="center"/>
          </w:tcPr>
          <w:p>
            <w:pPr>
              <w:spacing w:line="400" w:lineRule="exact"/>
              <w:jc w:val="center"/>
              <w:rPr>
                <w:rFonts w:ascii="宋体" w:hAnsi="宋体" w:cs="宋体"/>
                <w:color w:val="auto"/>
                <w:sz w:val="24"/>
                <w:highlight w:val="none"/>
              </w:rPr>
            </w:pPr>
            <w:r>
              <w:rPr>
                <w:rFonts w:hint="eastAsia" w:ascii="宋体" w:hAnsi="宋体" w:cs="宋体"/>
                <w:color w:val="auto"/>
                <w:sz w:val="24"/>
                <w:highlight w:val="none"/>
              </w:rPr>
              <w:t>8</w:t>
            </w:r>
          </w:p>
        </w:tc>
        <w:tc>
          <w:tcPr>
            <w:tcW w:w="8795" w:type="dxa"/>
            <w:noWrap/>
            <w:vAlign w:val="center"/>
          </w:tcPr>
          <w:p>
            <w:pPr>
              <w:spacing w:line="400" w:lineRule="exact"/>
              <w:rPr>
                <w:rFonts w:ascii="宋体" w:hAnsi="宋体" w:cs="宋体"/>
                <w:color w:val="auto"/>
                <w:sz w:val="24"/>
                <w:highlight w:val="none"/>
              </w:rPr>
            </w:pPr>
            <w:r>
              <w:rPr>
                <w:rFonts w:hint="eastAsia" w:ascii="宋体" w:hAnsi="宋体" w:cs="宋体"/>
                <w:color w:val="auto"/>
                <w:sz w:val="24"/>
                <w:highlight w:val="none"/>
              </w:rPr>
              <w:t>不统一组织现场踏勘。有意向的参选人自行踏勘。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0" w:hRule="atLeast"/>
          <w:jc w:val="center"/>
        </w:trPr>
        <w:tc>
          <w:tcPr>
            <w:tcW w:w="725" w:type="dxa"/>
            <w:noWrap/>
            <w:vAlign w:val="center"/>
          </w:tcPr>
          <w:p>
            <w:pPr>
              <w:spacing w:line="400" w:lineRule="exact"/>
              <w:jc w:val="center"/>
              <w:rPr>
                <w:rFonts w:ascii="宋体" w:hAnsi="宋体" w:cs="宋体"/>
                <w:color w:val="auto"/>
                <w:sz w:val="24"/>
                <w:highlight w:val="none"/>
              </w:rPr>
            </w:pPr>
            <w:r>
              <w:rPr>
                <w:rFonts w:hint="eastAsia" w:ascii="宋体" w:hAnsi="宋体" w:cs="宋体"/>
                <w:color w:val="auto"/>
                <w:sz w:val="24"/>
                <w:highlight w:val="none"/>
              </w:rPr>
              <w:t>9</w:t>
            </w:r>
          </w:p>
        </w:tc>
        <w:tc>
          <w:tcPr>
            <w:tcW w:w="8795" w:type="dxa"/>
            <w:noWrap/>
            <w:vAlign w:val="center"/>
          </w:tcPr>
          <w:p>
            <w:pPr>
              <w:spacing w:line="400" w:lineRule="exact"/>
              <w:rPr>
                <w:rFonts w:ascii="宋体" w:hAnsi="宋体" w:cs="宋体"/>
                <w:color w:val="auto"/>
                <w:sz w:val="24"/>
                <w:highlight w:val="none"/>
              </w:rPr>
            </w:pPr>
            <w:r>
              <w:rPr>
                <w:color w:val="auto"/>
                <w:highlight w:val="none"/>
              </w:rPr>
              <w:fldChar w:fldCharType="begin"/>
            </w:r>
            <w:r>
              <w:rPr>
                <w:color w:val="auto"/>
                <w:highlight w:val="none"/>
              </w:rPr>
              <w:instrText xml:space="preserve"> HYPERLINK "mailto:不统一组织招标答疑会，投标人在收到招标文件后，若有疑问需要澄清，应于收到招标文件后5日内递交书面答疑材料（或扫描件发送至849690978@qq.com）" </w:instrText>
            </w:r>
            <w:r>
              <w:rPr>
                <w:color w:val="auto"/>
                <w:highlight w:val="none"/>
              </w:rPr>
              <w:fldChar w:fldCharType="separate"/>
            </w:r>
            <w:r>
              <w:rPr>
                <w:rFonts w:hint="eastAsia" w:ascii="宋体" w:hAnsi="宋体" w:cs="宋体"/>
                <w:color w:val="auto"/>
                <w:sz w:val="24"/>
                <w:highlight w:val="none"/>
              </w:rPr>
              <w:t>不统一组织比选答疑会，参选人在收到比选文件后，若有疑问需要澄清，应于递交参选文件截止时间前以书面形式（加盖单位公章）递交答疑材料（或扫描件发送至</w:t>
            </w:r>
            <w:r>
              <w:rPr>
                <w:rFonts w:hint="eastAsia" w:ascii="宋体" w:hAnsi="宋体"/>
                <w:color w:val="auto"/>
                <w:sz w:val="24"/>
                <w:highlight w:val="none"/>
              </w:rPr>
              <w:t>jxfmf2022@163.com</w:t>
            </w:r>
            <w:r>
              <w:rPr>
                <w:rFonts w:hint="eastAsia" w:ascii="宋体" w:hAnsi="宋体" w:cs="宋体"/>
                <w:color w:val="auto"/>
                <w:sz w:val="24"/>
                <w:highlight w:val="none"/>
              </w:rPr>
              <w:t>）</w:t>
            </w:r>
            <w:r>
              <w:rPr>
                <w:rFonts w:hint="eastAsia" w:ascii="宋体" w:hAnsi="宋体" w:cs="宋体"/>
                <w:color w:val="auto"/>
                <w:sz w:val="24"/>
                <w:highlight w:val="none"/>
              </w:rPr>
              <w:fldChar w:fldCharType="end"/>
            </w:r>
            <w:r>
              <w:rPr>
                <w:rFonts w:hint="eastAsia" w:ascii="宋体" w:hAnsi="宋体" w:cs="宋体"/>
                <w:color w:val="auto"/>
                <w:sz w:val="24"/>
                <w:highlight w:val="none"/>
              </w:rPr>
              <w:t>。比选人统一将答疑澄清文件发布到</w:t>
            </w:r>
            <w:r>
              <w:rPr>
                <w:rFonts w:hint="eastAsia" w:ascii="宋体" w:hAnsi="宋体"/>
                <w:color w:val="auto"/>
                <w:sz w:val="24"/>
                <w:highlight w:val="none"/>
              </w:rPr>
              <w:t>南昌市红谷滩城市投资集团有限公司网站（网址：http://www.hgtct.com），参选人自行下载</w:t>
            </w:r>
            <w:r>
              <w:rPr>
                <w:rFonts w:hint="eastAsia" w:ascii="宋体" w:hAnsi="宋体" w:cs="宋体"/>
                <w:color w:val="auto"/>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725" w:type="dxa"/>
            <w:noWrap/>
            <w:vAlign w:val="center"/>
          </w:tcPr>
          <w:p>
            <w:pPr>
              <w:spacing w:line="400" w:lineRule="exact"/>
              <w:jc w:val="center"/>
              <w:rPr>
                <w:rFonts w:ascii="宋体" w:hAnsi="宋体" w:cs="宋体"/>
                <w:color w:val="auto"/>
                <w:sz w:val="24"/>
                <w:highlight w:val="none"/>
              </w:rPr>
            </w:pPr>
            <w:r>
              <w:rPr>
                <w:rFonts w:hint="eastAsia" w:ascii="宋体" w:hAnsi="宋体" w:cs="宋体"/>
                <w:color w:val="auto"/>
                <w:sz w:val="24"/>
                <w:highlight w:val="none"/>
              </w:rPr>
              <w:t>10</w:t>
            </w:r>
          </w:p>
        </w:tc>
        <w:tc>
          <w:tcPr>
            <w:tcW w:w="8795" w:type="dxa"/>
            <w:noWrap/>
            <w:vAlign w:val="center"/>
          </w:tcPr>
          <w:p>
            <w:pPr>
              <w:autoSpaceDE w:val="0"/>
              <w:autoSpaceDN w:val="0"/>
              <w:adjustRightInd w:val="0"/>
              <w:snapToGrid w:val="0"/>
              <w:spacing w:line="400" w:lineRule="exact"/>
              <w:ind w:left="-51"/>
              <w:textAlignment w:val="bottom"/>
              <w:rPr>
                <w:color w:val="auto"/>
                <w:sz w:val="24"/>
                <w:highlight w:val="none"/>
              </w:rPr>
            </w:pPr>
            <w:r>
              <w:rPr>
                <w:rFonts w:hint="eastAsia" w:ascii="宋体" w:hAnsi="宋体"/>
                <w:color w:val="auto"/>
                <w:sz w:val="24"/>
                <w:highlight w:val="none"/>
              </w:rPr>
              <w:t>递交参选文件截止时间</w:t>
            </w:r>
            <w:r>
              <w:rPr>
                <w:rFonts w:hint="eastAsia"/>
                <w:color w:val="auto"/>
                <w:sz w:val="24"/>
                <w:highlight w:val="none"/>
              </w:rPr>
              <w:t>：详见</w:t>
            </w:r>
            <w:r>
              <w:rPr>
                <w:rFonts w:hint="eastAsia" w:ascii="宋体" w:hAnsi="宋体" w:cs="宋体"/>
                <w:color w:val="auto"/>
                <w:sz w:val="24"/>
                <w:highlight w:val="none"/>
              </w:rPr>
              <w:t>“第一章 比选公告</w:t>
            </w:r>
            <w:r>
              <w:rPr>
                <w:rFonts w:hint="eastAsia" w:ascii="宋体" w:hAnsi="宋体" w:cs="宋体"/>
                <w:color w:val="auto"/>
                <w:kern w:val="0"/>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725" w:type="dxa"/>
            <w:noWrap/>
            <w:vAlign w:val="center"/>
          </w:tcPr>
          <w:p>
            <w:pPr>
              <w:spacing w:line="400" w:lineRule="exact"/>
              <w:jc w:val="center"/>
              <w:rPr>
                <w:rFonts w:ascii="宋体" w:hAnsi="宋体" w:cs="宋体"/>
                <w:color w:val="auto"/>
                <w:sz w:val="24"/>
                <w:highlight w:val="none"/>
              </w:rPr>
            </w:pPr>
            <w:r>
              <w:rPr>
                <w:rFonts w:hint="eastAsia" w:ascii="宋体" w:hAnsi="宋体" w:cs="宋体"/>
                <w:color w:val="auto"/>
                <w:sz w:val="24"/>
                <w:highlight w:val="none"/>
              </w:rPr>
              <w:t>11</w:t>
            </w:r>
          </w:p>
        </w:tc>
        <w:tc>
          <w:tcPr>
            <w:tcW w:w="8795" w:type="dxa"/>
            <w:noWrap/>
            <w:vAlign w:val="center"/>
          </w:tcPr>
          <w:p>
            <w:pPr>
              <w:autoSpaceDE w:val="0"/>
              <w:autoSpaceDN w:val="0"/>
              <w:adjustRightInd w:val="0"/>
              <w:snapToGrid w:val="0"/>
              <w:spacing w:line="400" w:lineRule="exact"/>
              <w:ind w:left="-51"/>
              <w:textAlignment w:val="bottom"/>
              <w:rPr>
                <w:color w:val="auto"/>
                <w:sz w:val="24"/>
                <w:highlight w:val="none"/>
              </w:rPr>
            </w:pPr>
            <w:r>
              <w:rPr>
                <w:rFonts w:hint="eastAsia"/>
                <w:color w:val="auto"/>
                <w:sz w:val="24"/>
                <w:highlight w:val="none"/>
              </w:rPr>
              <w:t>比选时间及地点：详见</w:t>
            </w:r>
            <w:r>
              <w:rPr>
                <w:rFonts w:hint="eastAsia" w:ascii="宋体" w:hAnsi="宋体" w:cs="宋体"/>
                <w:color w:val="auto"/>
                <w:sz w:val="24"/>
                <w:highlight w:val="none"/>
              </w:rPr>
              <w:t>“第一章 比选公告</w:t>
            </w:r>
            <w:r>
              <w:rPr>
                <w:rFonts w:hint="eastAsia" w:ascii="宋体" w:hAnsi="宋体" w:cs="宋体"/>
                <w:color w:val="auto"/>
                <w:kern w:val="0"/>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2" w:hRule="atLeast"/>
          <w:jc w:val="center"/>
        </w:trPr>
        <w:tc>
          <w:tcPr>
            <w:tcW w:w="725" w:type="dxa"/>
            <w:noWrap/>
            <w:vAlign w:val="center"/>
          </w:tcPr>
          <w:p>
            <w:pPr>
              <w:spacing w:line="400" w:lineRule="exact"/>
              <w:jc w:val="center"/>
              <w:rPr>
                <w:rFonts w:ascii="宋体" w:hAnsi="宋体" w:cs="宋体"/>
                <w:color w:val="auto"/>
                <w:sz w:val="24"/>
                <w:highlight w:val="none"/>
              </w:rPr>
            </w:pPr>
            <w:r>
              <w:rPr>
                <w:rFonts w:hint="eastAsia" w:ascii="宋体" w:hAnsi="宋体" w:cs="宋体"/>
                <w:color w:val="auto"/>
                <w:sz w:val="24"/>
                <w:highlight w:val="none"/>
              </w:rPr>
              <w:t>12</w:t>
            </w:r>
          </w:p>
        </w:tc>
        <w:tc>
          <w:tcPr>
            <w:tcW w:w="8795" w:type="dxa"/>
            <w:noWrap/>
            <w:vAlign w:val="center"/>
          </w:tcPr>
          <w:p>
            <w:pPr>
              <w:spacing w:line="400" w:lineRule="exact"/>
              <w:rPr>
                <w:rFonts w:ascii="宋体" w:hAnsi="宋体" w:cs="宋体"/>
                <w:color w:val="auto"/>
                <w:sz w:val="24"/>
                <w:highlight w:val="none"/>
              </w:rPr>
            </w:pPr>
            <w:r>
              <w:rPr>
                <w:rFonts w:hint="eastAsia" w:ascii="宋体" w:hAnsi="宋体" w:cs="宋体"/>
                <w:color w:val="auto"/>
                <w:sz w:val="24"/>
                <w:highlight w:val="none"/>
              </w:rPr>
              <w:t>参选人应确保资格证明文件的真实性、有效性及合法性，否则，由此引起的任何责任都由参选人自行承担。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3" w:hRule="atLeast"/>
          <w:jc w:val="center"/>
        </w:trPr>
        <w:tc>
          <w:tcPr>
            <w:tcW w:w="725" w:type="dxa"/>
            <w:noWrap/>
            <w:vAlign w:val="center"/>
          </w:tcPr>
          <w:p>
            <w:pPr>
              <w:spacing w:line="400" w:lineRule="exact"/>
              <w:jc w:val="center"/>
              <w:rPr>
                <w:rFonts w:ascii="宋体" w:hAnsi="宋体" w:cs="宋体"/>
                <w:color w:val="auto"/>
                <w:sz w:val="24"/>
                <w:highlight w:val="none"/>
              </w:rPr>
            </w:pPr>
            <w:r>
              <w:rPr>
                <w:rFonts w:hint="eastAsia" w:ascii="宋体" w:hAnsi="宋体" w:cs="宋体"/>
                <w:color w:val="auto"/>
                <w:sz w:val="24"/>
                <w:highlight w:val="none"/>
              </w:rPr>
              <w:t>13</w:t>
            </w:r>
          </w:p>
        </w:tc>
        <w:tc>
          <w:tcPr>
            <w:tcW w:w="8795" w:type="dxa"/>
            <w:noWrap/>
            <w:vAlign w:val="center"/>
          </w:tcPr>
          <w:p>
            <w:pPr>
              <w:spacing w:line="400" w:lineRule="exact"/>
              <w:rPr>
                <w:rFonts w:ascii="宋体" w:hAnsi="宋体" w:cs="宋体"/>
                <w:bCs/>
                <w:color w:val="auto"/>
                <w:sz w:val="24"/>
                <w:highlight w:val="none"/>
              </w:rPr>
            </w:pPr>
            <w:r>
              <w:rPr>
                <w:rFonts w:hint="eastAsia" w:ascii="宋体" w:hAnsi="宋体" w:cs="宋体"/>
                <w:bCs/>
                <w:color w:val="auto"/>
                <w:sz w:val="24"/>
                <w:highlight w:val="none"/>
              </w:rPr>
              <w:t>参选人如有提供虚假材料、恶意竞争，经查实，比选人将取消其</w:t>
            </w:r>
            <w:r>
              <w:rPr>
                <w:rFonts w:hint="eastAsia" w:ascii="宋体" w:hAnsi="宋体" w:cs="宋体"/>
                <w:color w:val="auto"/>
                <w:sz w:val="24"/>
                <w:szCs w:val="21"/>
                <w:highlight w:val="none"/>
              </w:rPr>
              <w:t>参选</w:t>
            </w:r>
            <w:r>
              <w:rPr>
                <w:rFonts w:hint="eastAsia" w:ascii="宋体" w:hAnsi="宋体" w:cs="宋体"/>
                <w:bCs/>
                <w:color w:val="auto"/>
                <w:sz w:val="24"/>
                <w:highlight w:val="none"/>
              </w:rPr>
              <w:t>资格，并保留追究法律责任的权利。中选单位未在规定的时间内与比选人签订合同等行为，比选人将取消其中选资格，并保留追究法律责任的权利。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725" w:type="dxa"/>
            <w:noWrap/>
            <w:vAlign w:val="center"/>
          </w:tcPr>
          <w:p>
            <w:pPr>
              <w:spacing w:line="400" w:lineRule="exact"/>
              <w:jc w:val="center"/>
              <w:rPr>
                <w:rFonts w:ascii="宋体" w:hAnsi="宋体" w:cs="宋体"/>
                <w:color w:val="auto"/>
                <w:sz w:val="24"/>
                <w:highlight w:val="none"/>
              </w:rPr>
            </w:pPr>
            <w:r>
              <w:rPr>
                <w:rFonts w:hint="eastAsia" w:ascii="宋体" w:hAnsi="宋体" w:cs="宋体"/>
                <w:color w:val="auto"/>
                <w:sz w:val="24"/>
                <w:highlight w:val="none"/>
              </w:rPr>
              <w:t>14</w:t>
            </w:r>
          </w:p>
        </w:tc>
        <w:tc>
          <w:tcPr>
            <w:tcW w:w="8795" w:type="dxa"/>
            <w:noWrap/>
            <w:vAlign w:val="center"/>
          </w:tcPr>
          <w:p>
            <w:pPr>
              <w:spacing w:line="400" w:lineRule="exact"/>
              <w:rPr>
                <w:rFonts w:ascii="宋体" w:hAnsi="宋体" w:cs="宋体"/>
                <w:bCs/>
                <w:color w:val="auto"/>
                <w:sz w:val="24"/>
                <w:highlight w:val="none"/>
              </w:rPr>
            </w:pPr>
            <w:r>
              <w:rPr>
                <w:rFonts w:hint="eastAsia" w:ascii="宋体" w:hAnsi="宋体" w:cs="宋体"/>
                <w:bCs/>
                <w:color w:val="auto"/>
                <w:sz w:val="24"/>
                <w:highlight w:val="none"/>
              </w:rPr>
              <w:t>中选人在领取中选通知书时，一次性支付给</w:t>
            </w:r>
            <w:r>
              <w:rPr>
                <w:rFonts w:hint="eastAsia" w:hAnsi="宋体" w:cs="宋体"/>
                <w:bCs/>
                <w:color w:val="auto"/>
                <w:sz w:val="24"/>
                <w:highlight w:val="none"/>
              </w:rPr>
              <w:t>招标</w:t>
            </w:r>
            <w:r>
              <w:rPr>
                <w:rFonts w:hint="eastAsia" w:ascii="宋体" w:hAnsi="宋体" w:cs="宋体"/>
                <w:bCs/>
                <w:color w:val="auto"/>
                <w:sz w:val="24"/>
                <w:highlight w:val="none"/>
              </w:rPr>
              <w:t>代理机构。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725" w:type="dxa"/>
            <w:noWrap/>
            <w:vAlign w:val="center"/>
          </w:tcPr>
          <w:p>
            <w:pPr>
              <w:spacing w:line="400" w:lineRule="exact"/>
              <w:jc w:val="center"/>
              <w:rPr>
                <w:rFonts w:ascii="宋体" w:hAnsi="宋体" w:cs="宋体"/>
                <w:color w:val="auto"/>
                <w:sz w:val="24"/>
                <w:highlight w:val="none"/>
              </w:rPr>
            </w:pPr>
            <w:r>
              <w:rPr>
                <w:rFonts w:hint="eastAsia" w:ascii="宋体" w:hAnsi="宋体" w:cs="宋体"/>
                <w:color w:val="auto"/>
                <w:sz w:val="24"/>
                <w:highlight w:val="none"/>
              </w:rPr>
              <w:t>15</w:t>
            </w:r>
          </w:p>
        </w:tc>
        <w:tc>
          <w:tcPr>
            <w:tcW w:w="8795" w:type="dxa"/>
            <w:noWrap/>
            <w:vAlign w:val="center"/>
          </w:tcPr>
          <w:p>
            <w:pPr>
              <w:spacing w:line="400" w:lineRule="exact"/>
              <w:rPr>
                <w:rFonts w:ascii="宋体" w:hAnsi="宋体" w:cs="宋体"/>
                <w:bCs/>
                <w:color w:val="auto"/>
                <w:sz w:val="24"/>
                <w:highlight w:val="none"/>
              </w:rPr>
            </w:pPr>
            <w:r>
              <w:rPr>
                <w:rFonts w:hint="eastAsia" w:ascii="宋体" w:hAnsi="宋体" w:cs="宋体"/>
                <w:bCs/>
                <w:color w:val="auto"/>
                <w:sz w:val="24"/>
                <w:highlight w:val="none"/>
              </w:rPr>
              <w:t>参选文件份数：壹正贰副。</w:t>
            </w:r>
            <w:r>
              <w:rPr>
                <w:rFonts w:hint="eastAsia" w:ascii="宋体" w:hAnsi="宋体" w:cs="宋体"/>
                <w:bCs/>
                <w:color w:val="auto"/>
                <w:sz w:val="24"/>
                <w:highlight w:val="none"/>
                <w:lang w:eastAsia="zh-CN"/>
              </w:rPr>
              <w:t>（</w:t>
            </w:r>
            <w:r>
              <w:rPr>
                <w:rFonts w:hint="eastAsia" w:ascii="宋体" w:hAnsi="宋体" w:cs="宋体"/>
                <w:bCs/>
                <w:color w:val="auto"/>
                <w:sz w:val="24"/>
                <w:highlight w:val="none"/>
              </w:rPr>
              <w:t>附电子扫描原件1份，U盘装载PDF格式）</w:t>
            </w:r>
          </w:p>
        </w:tc>
      </w:tr>
    </w:tbl>
    <w:p>
      <w:pPr>
        <w:pStyle w:val="6"/>
        <w:jc w:val="center"/>
        <w:rPr>
          <w:color w:val="auto"/>
          <w:highlight w:val="none"/>
        </w:rPr>
      </w:pPr>
      <w:r>
        <w:rPr>
          <w:rFonts w:hint="eastAsia"/>
          <w:color w:val="auto"/>
          <w:highlight w:val="none"/>
        </w:rPr>
        <w:t>参选人须知正文</w:t>
      </w:r>
    </w:p>
    <w:p>
      <w:pPr>
        <w:spacing w:line="360" w:lineRule="auto"/>
        <w:outlineLvl w:val="1"/>
        <w:rPr>
          <w:rFonts w:ascii="宋体" w:hAnsi="宋体"/>
          <w:b/>
          <w:bCs/>
          <w:color w:val="auto"/>
          <w:sz w:val="24"/>
          <w:highlight w:val="none"/>
        </w:rPr>
      </w:pPr>
      <w:bookmarkStart w:id="3" w:name="_Toc147282124"/>
      <w:bookmarkStart w:id="4" w:name="_Toc324678925"/>
      <w:bookmarkStart w:id="5" w:name="_Toc31761"/>
      <w:bookmarkStart w:id="6" w:name="_Toc17175"/>
      <w:bookmarkStart w:id="7" w:name="_Toc377982317"/>
      <w:r>
        <w:rPr>
          <w:rFonts w:hint="eastAsia" w:ascii="宋体" w:hAnsi="宋体"/>
          <w:b/>
          <w:bCs/>
          <w:color w:val="auto"/>
          <w:sz w:val="24"/>
          <w:highlight w:val="none"/>
        </w:rPr>
        <w:t>1. 适用范围</w:t>
      </w:r>
    </w:p>
    <w:p>
      <w:pPr>
        <w:spacing w:line="360" w:lineRule="auto"/>
        <w:rPr>
          <w:rFonts w:ascii="宋体" w:hAnsi="宋体"/>
          <w:color w:val="auto"/>
          <w:sz w:val="24"/>
          <w:highlight w:val="none"/>
        </w:rPr>
      </w:pPr>
      <w:r>
        <w:rPr>
          <w:rFonts w:ascii="宋体" w:hAnsi="宋体"/>
          <w:color w:val="auto"/>
          <w:sz w:val="24"/>
          <w:highlight w:val="none"/>
        </w:rPr>
        <w:t xml:space="preserve">1.1 </w:t>
      </w:r>
      <w:r>
        <w:rPr>
          <w:rFonts w:hint="eastAsia" w:ascii="宋体" w:hAnsi="宋体"/>
          <w:color w:val="auto"/>
          <w:sz w:val="24"/>
          <w:highlight w:val="none"/>
        </w:rPr>
        <w:t>本比选文件仅适用于本比选公告中所述工程、货物、服务的采购。</w:t>
      </w:r>
    </w:p>
    <w:p>
      <w:pPr>
        <w:spacing w:line="360" w:lineRule="auto"/>
        <w:outlineLvl w:val="1"/>
        <w:rPr>
          <w:rFonts w:ascii="宋体" w:hAnsi="宋体"/>
          <w:b/>
          <w:bCs/>
          <w:color w:val="auto"/>
          <w:sz w:val="24"/>
          <w:highlight w:val="none"/>
        </w:rPr>
      </w:pPr>
      <w:r>
        <w:rPr>
          <w:rFonts w:hint="eastAsia" w:ascii="宋体" w:hAnsi="宋体"/>
          <w:b/>
          <w:bCs/>
          <w:color w:val="auto"/>
          <w:sz w:val="24"/>
          <w:highlight w:val="none"/>
        </w:rPr>
        <w:t>2. 定义</w:t>
      </w:r>
    </w:p>
    <w:p>
      <w:pPr>
        <w:spacing w:line="360" w:lineRule="auto"/>
        <w:rPr>
          <w:rFonts w:ascii="宋体" w:hAnsi="宋体"/>
          <w:color w:val="auto"/>
          <w:sz w:val="24"/>
          <w:highlight w:val="none"/>
        </w:rPr>
      </w:pPr>
      <w:r>
        <w:rPr>
          <w:rFonts w:hint="eastAsia" w:ascii="宋体" w:hAnsi="宋体"/>
          <w:color w:val="auto"/>
          <w:sz w:val="24"/>
          <w:highlight w:val="none"/>
        </w:rPr>
        <w:t>2.1 “比选人”是指提出比选项目的法人或其他组织。</w:t>
      </w:r>
    </w:p>
    <w:p>
      <w:pPr>
        <w:spacing w:line="360" w:lineRule="auto"/>
        <w:ind w:firstLine="723" w:firstLineChars="300"/>
        <w:rPr>
          <w:rFonts w:ascii="宋体" w:hAnsi="宋体"/>
          <w:b/>
          <w:bCs/>
          <w:color w:val="auto"/>
          <w:sz w:val="24"/>
          <w:highlight w:val="none"/>
        </w:rPr>
      </w:pPr>
      <w:r>
        <w:rPr>
          <w:rFonts w:hint="eastAsia" w:ascii="宋体" w:hAnsi="宋体"/>
          <w:b/>
          <w:bCs/>
          <w:color w:val="auto"/>
          <w:sz w:val="24"/>
          <w:highlight w:val="none"/>
        </w:rPr>
        <w:t>比选人名称：南昌红润项目管理有限公司</w:t>
      </w:r>
    </w:p>
    <w:p>
      <w:pPr>
        <w:spacing w:line="360" w:lineRule="auto"/>
        <w:rPr>
          <w:rFonts w:ascii="宋体" w:hAnsi="宋体"/>
          <w:color w:val="auto"/>
          <w:sz w:val="24"/>
          <w:highlight w:val="none"/>
        </w:rPr>
      </w:pPr>
      <w:r>
        <w:rPr>
          <w:rFonts w:hint="eastAsia" w:ascii="宋体" w:hAnsi="宋体"/>
          <w:color w:val="auto"/>
          <w:sz w:val="24"/>
          <w:highlight w:val="none"/>
        </w:rPr>
        <w:t>2.2 “招标代理机构”系指接受比选人委托，从事招标代理业务的企业法人。</w:t>
      </w:r>
    </w:p>
    <w:p>
      <w:pPr>
        <w:spacing w:line="360" w:lineRule="auto"/>
        <w:ind w:firstLine="723" w:firstLineChars="300"/>
        <w:rPr>
          <w:rFonts w:ascii="宋体" w:hAnsi="宋体"/>
          <w:b/>
          <w:bCs/>
          <w:color w:val="auto"/>
          <w:sz w:val="24"/>
          <w:highlight w:val="none"/>
        </w:rPr>
      </w:pPr>
      <w:r>
        <w:rPr>
          <w:rFonts w:hint="eastAsia" w:ascii="宋体" w:hAnsi="宋体"/>
          <w:b/>
          <w:bCs/>
          <w:color w:val="auto"/>
          <w:sz w:val="24"/>
          <w:highlight w:val="none"/>
        </w:rPr>
        <w:t>招标代理机构名称：江西明法招标有限公司</w:t>
      </w:r>
    </w:p>
    <w:p>
      <w:pPr>
        <w:spacing w:line="360" w:lineRule="auto"/>
        <w:rPr>
          <w:rFonts w:ascii="宋体" w:hAnsi="宋体"/>
          <w:color w:val="auto"/>
          <w:sz w:val="24"/>
          <w:highlight w:val="none"/>
        </w:rPr>
      </w:pPr>
      <w:r>
        <w:rPr>
          <w:rFonts w:ascii="宋体" w:hAnsi="宋体"/>
          <w:color w:val="auto"/>
          <w:sz w:val="24"/>
          <w:highlight w:val="none"/>
        </w:rPr>
        <w:t>2.</w:t>
      </w:r>
      <w:r>
        <w:rPr>
          <w:rFonts w:hint="eastAsia" w:ascii="宋体" w:hAnsi="宋体"/>
          <w:color w:val="auto"/>
          <w:sz w:val="24"/>
          <w:highlight w:val="none"/>
        </w:rPr>
        <w:t>3“参选人”是指向比选人提交参选文件的参选人。</w:t>
      </w:r>
    </w:p>
    <w:p>
      <w:pPr>
        <w:spacing w:line="360" w:lineRule="auto"/>
        <w:outlineLvl w:val="1"/>
        <w:rPr>
          <w:rFonts w:ascii="宋体" w:hAnsi="宋体"/>
          <w:color w:val="auto"/>
          <w:sz w:val="24"/>
          <w:highlight w:val="none"/>
        </w:rPr>
      </w:pPr>
      <w:bookmarkStart w:id="8" w:name="_Toc202172745"/>
      <w:r>
        <w:rPr>
          <w:rFonts w:hint="eastAsia" w:ascii="宋体" w:hAnsi="宋体"/>
          <w:b/>
          <w:bCs/>
          <w:color w:val="auto"/>
          <w:sz w:val="24"/>
          <w:highlight w:val="none"/>
        </w:rPr>
        <w:t>3.</w:t>
      </w:r>
      <w:bookmarkEnd w:id="8"/>
      <w:r>
        <w:rPr>
          <w:rFonts w:hint="eastAsia" w:ascii="宋体" w:hAnsi="宋体"/>
          <w:b/>
          <w:bCs/>
          <w:color w:val="auto"/>
          <w:sz w:val="24"/>
          <w:highlight w:val="none"/>
        </w:rPr>
        <w:t xml:space="preserve"> 资金落实情况</w:t>
      </w:r>
      <w:r>
        <w:rPr>
          <w:rFonts w:hint="eastAsia" w:ascii="宋体" w:hAnsi="宋体"/>
          <w:color w:val="auto"/>
          <w:sz w:val="24"/>
          <w:highlight w:val="none"/>
        </w:rPr>
        <w:t>：已落实。</w:t>
      </w:r>
    </w:p>
    <w:p>
      <w:pPr>
        <w:spacing w:line="360" w:lineRule="auto"/>
        <w:outlineLvl w:val="1"/>
        <w:rPr>
          <w:rFonts w:ascii="宋体" w:hAnsi="宋体"/>
          <w:b/>
          <w:bCs/>
          <w:color w:val="auto"/>
          <w:sz w:val="24"/>
          <w:highlight w:val="none"/>
        </w:rPr>
      </w:pPr>
      <w:r>
        <w:rPr>
          <w:rFonts w:hint="eastAsia" w:ascii="宋体" w:hAnsi="宋体"/>
          <w:b/>
          <w:bCs/>
          <w:color w:val="auto"/>
          <w:sz w:val="24"/>
          <w:highlight w:val="none"/>
        </w:rPr>
        <w:t>4．参选人资格条件：详见“第一章 比选公告”。</w:t>
      </w:r>
    </w:p>
    <w:p>
      <w:pPr>
        <w:spacing w:line="360" w:lineRule="auto"/>
        <w:outlineLvl w:val="1"/>
        <w:rPr>
          <w:rFonts w:ascii="宋体" w:hAnsi="宋体"/>
          <w:b/>
          <w:bCs/>
          <w:color w:val="auto"/>
          <w:sz w:val="24"/>
          <w:highlight w:val="none"/>
        </w:rPr>
      </w:pPr>
      <w:bookmarkStart w:id="9" w:name="_Toc202172746"/>
      <w:r>
        <w:rPr>
          <w:rFonts w:hint="eastAsia" w:ascii="宋体" w:hAnsi="宋体"/>
          <w:b/>
          <w:bCs/>
          <w:color w:val="auto"/>
          <w:sz w:val="24"/>
          <w:highlight w:val="none"/>
        </w:rPr>
        <w:t>5. 参选费用</w:t>
      </w:r>
      <w:bookmarkEnd w:id="9"/>
    </w:p>
    <w:p>
      <w:pPr>
        <w:spacing w:line="360" w:lineRule="auto"/>
        <w:rPr>
          <w:rFonts w:ascii="宋体" w:hAnsi="宋体"/>
          <w:color w:val="auto"/>
          <w:sz w:val="24"/>
          <w:highlight w:val="none"/>
        </w:rPr>
      </w:pPr>
      <w:r>
        <w:rPr>
          <w:rFonts w:hint="eastAsia" w:ascii="宋体" w:hAnsi="宋体"/>
          <w:color w:val="auto"/>
          <w:sz w:val="24"/>
          <w:highlight w:val="none"/>
        </w:rPr>
        <w:t>5</w:t>
      </w:r>
      <w:r>
        <w:rPr>
          <w:rFonts w:ascii="宋体" w:hAnsi="宋体"/>
          <w:color w:val="auto"/>
          <w:sz w:val="24"/>
          <w:highlight w:val="none"/>
        </w:rPr>
        <w:t>.1</w:t>
      </w:r>
      <w:r>
        <w:rPr>
          <w:rFonts w:hint="eastAsia" w:ascii="宋体" w:hAnsi="宋体"/>
          <w:color w:val="auto"/>
          <w:sz w:val="24"/>
          <w:highlight w:val="none"/>
        </w:rPr>
        <w:t xml:space="preserve"> 不论参选的结果如何，参选人应自行承担所有与准备和参加参选有关的全部费用。招标代理机构和比选人在任何情况下均无义务和责任承担这些费用。</w:t>
      </w:r>
    </w:p>
    <w:p>
      <w:pPr>
        <w:spacing w:line="360" w:lineRule="auto"/>
        <w:outlineLvl w:val="1"/>
        <w:rPr>
          <w:rFonts w:ascii="宋体" w:hAnsi="宋体"/>
          <w:b/>
          <w:bCs/>
          <w:color w:val="auto"/>
          <w:sz w:val="24"/>
          <w:highlight w:val="none"/>
        </w:rPr>
      </w:pPr>
      <w:bookmarkStart w:id="10" w:name="_Toc202172747"/>
      <w:r>
        <w:rPr>
          <w:rFonts w:hint="eastAsia" w:ascii="宋体" w:hAnsi="宋体"/>
          <w:b/>
          <w:bCs/>
          <w:color w:val="auto"/>
          <w:sz w:val="24"/>
          <w:highlight w:val="none"/>
        </w:rPr>
        <w:t>6. 参选人代表</w:t>
      </w:r>
      <w:bookmarkEnd w:id="10"/>
    </w:p>
    <w:p>
      <w:pPr>
        <w:spacing w:line="360" w:lineRule="auto"/>
        <w:rPr>
          <w:rFonts w:ascii="宋体" w:hAnsi="宋体"/>
          <w:color w:val="auto"/>
          <w:sz w:val="24"/>
          <w:highlight w:val="none"/>
        </w:rPr>
      </w:pPr>
      <w:r>
        <w:rPr>
          <w:rFonts w:hint="eastAsia" w:ascii="宋体" w:hAnsi="宋体"/>
          <w:color w:val="auto"/>
          <w:sz w:val="24"/>
          <w:highlight w:val="none"/>
        </w:rPr>
        <w:t>6</w:t>
      </w:r>
      <w:r>
        <w:rPr>
          <w:rFonts w:ascii="宋体" w:hAnsi="宋体"/>
          <w:color w:val="auto"/>
          <w:sz w:val="24"/>
          <w:highlight w:val="none"/>
        </w:rPr>
        <w:t xml:space="preserve">.1 </w:t>
      </w:r>
      <w:r>
        <w:rPr>
          <w:rFonts w:hint="eastAsia" w:ascii="宋体" w:hAnsi="宋体"/>
          <w:color w:val="auto"/>
          <w:sz w:val="24"/>
          <w:highlight w:val="none"/>
        </w:rPr>
        <w:t>指全权代表参选人参加参选活动并签署参选文件的人。如果参选人代表不是法定代表人，须持有《法定代表人授权书》。</w:t>
      </w:r>
    </w:p>
    <w:p>
      <w:pPr>
        <w:spacing w:line="360" w:lineRule="auto"/>
        <w:rPr>
          <w:rFonts w:ascii="宋体" w:hAnsi="宋体"/>
          <w:b/>
          <w:bCs/>
          <w:color w:val="auto"/>
          <w:sz w:val="24"/>
          <w:highlight w:val="none"/>
        </w:rPr>
      </w:pPr>
      <w:bookmarkStart w:id="11" w:name="_Toc202172748"/>
    </w:p>
    <w:p>
      <w:pPr>
        <w:spacing w:line="360" w:lineRule="auto"/>
        <w:jc w:val="center"/>
        <w:rPr>
          <w:rFonts w:ascii="宋体" w:hAnsi="宋体"/>
          <w:b/>
          <w:bCs/>
          <w:color w:val="auto"/>
          <w:sz w:val="24"/>
          <w:highlight w:val="none"/>
        </w:rPr>
      </w:pPr>
      <w:r>
        <w:rPr>
          <w:rFonts w:hint="eastAsia" w:ascii="宋体" w:hAnsi="宋体"/>
          <w:b/>
          <w:bCs/>
          <w:color w:val="auto"/>
          <w:sz w:val="24"/>
          <w:highlight w:val="none"/>
        </w:rPr>
        <w:t>二、</w:t>
      </w:r>
      <w:bookmarkEnd w:id="11"/>
      <w:r>
        <w:rPr>
          <w:rFonts w:hint="eastAsia" w:ascii="宋体" w:hAnsi="宋体"/>
          <w:b/>
          <w:bCs/>
          <w:color w:val="auto"/>
          <w:sz w:val="24"/>
          <w:highlight w:val="none"/>
        </w:rPr>
        <w:t>比选文件</w:t>
      </w:r>
    </w:p>
    <w:p>
      <w:pPr>
        <w:spacing w:line="360" w:lineRule="auto"/>
        <w:outlineLvl w:val="1"/>
        <w:rPr>
          <w:rFonts w:ascii="宋体" w:hAnsi="宋体"/>
          <w:b/>
          <w:bCs/>
          <w:color w:val="auto"/>
          <w:sz w:val="24"/>
          <w:highlight w:val="none"/>
        </w:rPr>
      </w:pPr>
      <w:bookmarkStart w:id="12" w:name="_Toc202172749"/>
      <w:r>
        <w:rPr>
          <w:rFonts w:hint="eastAsia" w:ascii="宋体" w:hAnsi="宋体"/>
          <w:b/>
          <w:bCs/>
          <w:color w:val="auto"/>
          <w:sz w:val="24"/>
          <w:highlight w:val="none"/>
        </w:rPr>
        <w:t>7. 比选文件构成</w:t>
      </w:r>
      <w:bookmarkEnd w:id="12"/>
    </w:p>
    <w:p>
      <w:pPr>
        <w:spacing w:line="360" w:lineRule="auto"/>
        <w:rPr>
          <w:rFonts w:ascii="宋体" w:hAnsi="宋体"/>
          <w:color w:val="auto"/>
          <w:sz w:val="24"/>
          <w:highlight w:val="none"/>
        </w:rPr>
      </w:pPr>
      <w:r>
        <w:rPr>
          <w:rFonts w:hint="eastAsia" w:ascii="宋体" w:hAnsi="宋体"/>
          <w:color w:val="auto"/>
          <w:sz w:val="24"/>
          <w:highlight w:val="none"/>
        </w:rPr>
        <w:t>7</w:t>
      </w:r>
      <w:r>
        <w:rPr>
          <w:rFonts w:ascii="宋体" w:hAnsi="宋体"/>
          <w:color w:val="auto"/>
          <w:sz w:val="24"/>
          <w:highlight w:val="none"/>
        </w:rPr>
        <w:t>.1</w:t>
      </w:r>
      <w:r>
        <w:rPr>
          <w:rFonts w:hint="eastAsia" w:ascii="宋体" w:hAnsi="宋体"/>
          <w:color w:val="auto"/>
          <w:sz w:val="24"/>
          <w:highlight w:val="none"/>
        </w:rPr>
        <w:t xml:space="preserve"> 要求提供的工程、货物、服务有关的比选过程和合同条款在比选文件中均有说明。比选文件共五章，各章的内容如下：</w:t>
      </w:r>
    </w:p>
    <w:p>
      <w:pPr>
        <w:spacing w:line="360" w:lineRule="auto"/>
        <w:ind w:firstLine="480" w:firstLineChars="200"/>
        <w:rPr>
          <w:rFonts w:ascii="宋体" w:hAnsi="宋体"/>
          <w:color w:val="auto"/>
          <w:sz w:val="24"/>
          <w:highlight w:val="none"/>
        </w:rPr>
      </w:pPr>
      <w:r>
        <w:rPr>
          <w:rFonts w:hint="eastAsia" w:ascii="宋体" w:hAnsi="宋体"/>
          <w:color w:val="auto"/>
          <w:sz w:val="24"/>
          <w:highlight w:val="none"/>
        </w:rPr>
        <w:t>第一章 比选公告</w:t>
      </w:r>
    </w:p>
    <w:p>
      <w:pPr>
        <w:spacing w:line="360" w:lineRule="auto"/>
        <w:ind w:firstLine="480" w:firstLineChars="200"/>
        <w:rPr>
          <w:rFonts w:ascii="宋体" w:hAnsi="宋体"/>
          <w:color w:val="auto"/>
          <w:sz w:val="24"/>
          <w:highlight w:val="none"/>
        </w:rPr>
      </w:pPr>
      <w:r>
        <w:rPr>
          <w:rFonts w:hint="eastAsia" w:ascii="宋体" w:hAnsi="宋体"/>
          <w:color w:val="auto"/>
          <w:sz w:val="24"/>
          <w:highlight w:val="none"/>
        </w:rPr>
        <w:t>第二章 参选人须知</w:t>
      </w:r>
    </w:p>
    <w:p>
      <w:pPr>
        <w:spacing w:line="360" w:lineRule="auto"/>
        <w:ind w:firstLine="480" w:firstLineChars="200"/>
        <w:rPr>
          <w:rFonts w:ascii="宋体" w:hAnsi="宋体"/>
          <w:color w:val="auto"/>
          <w:sz w:val="24"/>
          <w:highlight w:val="none"/>
        </w:rPr>
      </w:pPr>
      <w:r>
        <w:rPr>
          <w:rFonts w:hint="eastAsia" w:ascii="宋体" w:hAnsi="宋体"/>
          <w:color w:val="auto"/>
          <w:sz w:val="24"/>
          <w:highlight w:val="none"/>
        </w:rPr>
        <w:t>第三章 评审办法</w:t>
      </w:r>
    </w:p>
    <w:p>
      <w:pPr>
        <w:spacing w:line="360" w:lineRule="auto"/>
        <w:ind w:firstLine="480" w:firstLineChars="200"/>
        <w:rPr>
          <w:rFonts w:ascii="宋体" w:hAnsi="宋体"/>
          <w:color w:val="auto"/>
          <w:sz w:val="24"/>
          <w:highlight w:val="none"/>
        </w:rPr>
      </w:pPr>
      <w:r>
        <w:rPr>
          <w:rFonts w:hint="eastAsia" w:ascii="宋体" w:hAnsi="宋体"/>
          <w:color w:val="auto"/>
          <w:sz w:val="24"/>
          <w:highlight w:val="none"/>
        </w:rPr>
        <w:t>第四章 项目需求</w:t>
      </w:r>
    </w:p>
    <w:p>
      <w:pPr>
        <w:spacing w:line="360" w:lineRule="auto"/>
        <w:ind w:firstLine="480" w:firstLineChars="200"/>
        <w:rPr>
          <w:rFonts w:ascii="宋体" w:hAnsi="宋体"/>
          <w:color w:val="auto"/>
          <w:sz w:val="24"/>
          <w:highlight w:val="none"/>
        </w:rPr>
      </w:pPr>
      <w:r>
        <w:rPr>
          <w:rFonts w:hint="eastAsia" w:ascii="宋体" w:hAnsi="宋体"/>
          <w:color w:val="auto"/>
          <w:sz w:val="24"/>
          <w:highlight w:val="none"/>
        </w:rPr>
        <w:t>第五章 参选文件格式</w:t>
      </w:r>
    </w:p>
    <w:p>
      <w:pPr>
        <w:spacing w:line="360" w:lineRule="auto"/>
        <w:rPr>
          <w:rFonts w:ascii="宋体" w:hAnsi="宋体"/>
          <w:color w:val="auto"/>
          <w:sz w:val="24"/>
          <w:highlight w:val="none"/>
        </w:rPr>
      </w:pPr>
      <w:r>
        <w:rPr>
          <w:rFonts w:hint="eastAsia" w:ascii="宋体" w:hAnsi="宋体"/>
          <w:color w:val="auto"/>
          <w:sz w:val="24"/>
          <w:highlight w:val="none"/>
        </w:rPr>
        <w:t>7</w:t>
      </w:r>
      <w:r>
        <w:rPr>
          <w:rFonts w:ascii="宋体" w:hAnsi="宋体"/>
          <w:color w:val="auto"/>
          <w:sz w:val="24"/>
          <w:highlight w:val="none"/>
        </w:rPr>
        <w:t>.2</w:t>
      </w:r>
      <w:r>
        <w:rPr>
          <w:rFonts w:hint="eastAsia" w:ascii="宋体" w:hAnsi="宋体"/>
          <w:color w:val="auto"/>
          <w:sz w:val="24"/>
          <w:highlight w:val="none"/>
        </w:rPr>
        <w:t xml:space="preserve"> 除非有特殊要求，比选文件不单独提供工程、货物、服务使用地的自然环境、气候条件、公用设施等情况，参选人被视为熟悉上述与履行合同有关的一切情况。</w:t>
      </w:r>
    </w:p>
    <w:p>
      <w:pPr>
        <w:spacing w:line="360" w:lineRule="auto"/>
        <w:outlineLvl w:val="1"/>
        <w:rPr>
          <w:rFonts w:ascii="宋体" w:hAnsi="宋体"/>
          <w:b/>
          <w:bCs/>
          <w:color w:val="auto"/>
          <w:sz w:val="24"/>
          <w:highlight w:val="none"/>
        </w:rPr>
      </w:pPr>
      <w:bookmarkStart w:id="13" w:name="_Toc202172750"/>
      <w:r>
        <w:rPr>
          <w:rFonts w:hint="eastAsia" w:ascii="宋体" w:hAnsi="宋体"/>
          <w:b/>
          <w:bCs/>
          <w:color w:val="auto"/>
          <w:sz w:val="24"/>
          <w:highlight w:val="none"/>
        </w:rPr>
        <w:t>8. 比选文件的</w:t>
      </w:r>
      <w:bookmarkEnd w:id="13"/>
      <w:r>
        <w:rPr>
          <w:rFonts w:hint="eastAsia" w:ascii="宋体" w:hAnsi="宋体"/>
          <w:b/>
          <w:bCs/>
          <w:color w:val="auto"/>
          <w:sz w:val="24"/>
          <w:highlight w:val="none"/>
        </w:rPr>
        <w:t>答疑</w:t>
      </w:r>
    </w:p>
    <w:p>
      <w:pPr>
        <w:spacing w:line="360" w:lineRule="auto"/>
        <w:rPr>
          <w:rFonts w:ascii="宋体" w:hAnsi="宋体"/>
          <w:color w:val="auto"/>
          <w:sz w:val="24"/>
          <w:highlight w:val="none"/>
        </w:rPr>
      </w:pPr>
      <w:r>
        <w:rPr>
          <w:rFonts w:hint="eastAsia" w:ascii="宋体" w:hAnsi="宋体"/>
          <w:color w:val="auto"/>
          <w:sz w:val="24"/>
          <w:highlight w:val="none"/>
        </w:rPr>
        <w:t>8</w:t>
      </w:r>
      <w:r>
        <w:rPr>
          <w:rFonts w:ascii="宋体" w:hAnsi="宋体"/>
          <w:color w:val="auto"/>
          <w:sz w:val="24"/>
          <w:highlight w:val="none"/>
        </w:rPr>
        <w:t>.1</w:t>
      </w:r>
      <w:r>
        <w:rPr>
          <w:rFonts w:hint="eastAsia"/>
          <w:color w:val="auto"/>
          <w:sz w:val="24"/>
          <w:highlight w:val="none"/>
        </w:rPr>
        <w:t>不统一组织比选答疑会。参选人自行下载比选文件后，对比选文件如有疑问，应在递交参选文件截止时间前，将提疑文件（加盖单位公章）扫描件发送至指定电子邮箱。</w:t>
      </w:r>
      <w:r>
        <w:rPr>
          <w:rFonts w:hint="eastAsia" w:ascii="宋体" w:hAnsi="宋体"/>
          <w:color w:val="auto"/>
          <w:sz w:val="24"/>
          <w:highlight w:val="none"/>
        </w:rPr>
        <w:t>比选人（或招标代理机构）收到</w:t>
      </w:r>
      <w:r>
        <w:rPr>
          <w:rFonts w:hint="eastAsia"/>
          <w:color w:val="auto"/>
          <w:sz w:val="24"/>
          <w:highlight w:val="none"/>
        </w:rPr>
        <w:t>提疑文件</w:t>
      </w:r>
      <w:r>
        <w:rPr>
          <w:rFonts w:hint="eastAsia" w:ascii="宋体" w:hAnsi="宋体"/>
          <w:color w:val="auto"/>
          <w:sz w:val="24"/>
          <w:highlight w:val="none"/>
        </w:rPr>
        <w:t>后及时作出答复，答复中不标明问题的来源。</w:t>
      </w:r>
    </w:p>
    <w:p>
      <w:pPr>
        <w:spacing w:line="360" w:lineRule="auto"/>
        <w:rPr>
          <w:rFonts w:ascii="宋体" w:hAnsi="宋体"/>
          <w:color w:val="auto"/>
          <w:sz w:val="24"/>
          <w:highlight w:val="none"/>
        </w:rPr>
      </w:pPr>
      <w:r>
        <w:rPr>
          <w:rFonts w:hint="eastAsia" w:ascii="宋体" w:hAnsi="宋体"/>
          <w:color w:val="auto"/>
          <w:sz w:val="24"/>
          <w:highlight w:val="none"/>
        </w:rPr>
        <w:t>8.2 比选文件的答疑将以书面形式发布在南昌市红谷滩城市投资集团有限公司网站（网址：http://www.hgtct.com），比选文件的答疑作为比选文件的组成部分。</w:t>
      </w:r>
    </w:p>
    <w:p>
      <w:pPr>
        <w:spacing w:line="360" w:lineRule="auto"/>
        <w:rPr>
          <w:rFonts w:ascii="宋体" w:hAnsi="宋体"/>
          <w:color w:val="auto"/>
          <w:sz w:val="24"/>
          <w:highlight w:val="none"/>
        </w:rPr>
      </w:pPr>
      <w:r>
        <w:rPr>
          <w:rFonts w:hint="eastAsia" w:ascii="宋体" w:hAnsi="宋体"/>
          <w:color w:val="auto"/>
          <w:sz w:val="24"/>
          <w:highlight w:val="none"/>
        </w:rPr>
        <w:t>8</w:t>
      </w:r>
      <w:r>
        <w:rPr>
          <w:rFonts w:ascii="宋体" w:hAnsi="宋体"/>
          <w:color w:val="auto"/>
          <w:sz w:val="24"/>
          <w:highlight w:val="none"/>
        </w:rPr>
        <w:t xml:space="preserve">.3 </w:t>
      </w:r>
      <w:r>
        <w:rPr>
          <w:rFonts w:hint="eastAsia" w:ascii="宋体" w:hAnsi="宋体"/>
          <w:color w:val="auto"/>
          <w:sz w:val="24"/>
          <w:highlight w:val="none"/>
        </w:rPr>
        <w:t>为使参选人准备参选时有充分时间对比选文件的答疑部分进行研究，比选人有权推迟递交参选文件截止时间。</w:t>
      </w:r>
    </w:p>
    <w:p>
      <w:pPr>
        <w:spacing w:line="360" w:lineRule="auto"/>
        <w:outlineLvl w:val="1"/>
        <w:rPr>
          <w:rFonts w:ascii="宋体" w:hAnsi="宋体"/>
          <w:b/>
          <w:bCs/>
          <w:color w:val="auto"/>
          <w:sz w:val="24"/>
          <w:highlight w:val="none"/>
        </w:rPr>
      </w:pPr>
      <w:bookmarkStart w:id="14" w:name="_Toc202172751"/>
      <w:r>
        <w:rPr>
          <w:rFonts w:hint="eastAsia" w:ascii="宋体" w:hAnsi="宋体"/>
          <w:b/>
          <w:bCs/>
          <w:color w:val="auto"/>
          <w:sz w:val="24"/>
          <w:highlight w:val="none"/>
        </w:rPr>
        <w:t>9. 比选文件的修改</w:t>
      </w:r>
      <w:bookmarkEnd w:id="14"/>
    </w:p>
    <w:p>
      <w:pPr>
        <w:spacing w:line="360" w:lineRule="auto"/>
        <w:rPr>
          <w:rFonts w:ascii="宋体" w:hAnsi="宋体"/>
          <w:color w:val="auto"/>
          <w:sz w:val="24"/>
          <w:highlight w:val="none"/>
        </w:rPr>
      </w:pPr>
      <w:r>
        <w:rPr>
          <w:rFonts w:hint="eastAsia" w:ascii="宋体" w:hAnsi="宋体"/>
          <w:color w:val="auto"/>
          <w:sz w:val="24"/>
          <w:highlight w:val="none"/>
        </w:rPr>
        <w:t>9</w:t>
      </w:r>
      <w:r>
        <w:rPr>
          <w:rFonts w:ascii="宋体" w:hAnsi="宋体"/>
          <w:color w:val="auto"/>
          <w:sz w:val="24"/>
          <w:highlight w:val="none"/>
        </w:rPr>
        <w:t xml:space="preserve">.1 </w:t>
      </w:r>
      <w:r>
        <w:rPr>
          <w:rFonts w:hint="eastAsia" w:ascii="宋体" w:hAnsi="宋体"/>
          <w:color w:val="auto"/>
          <w:sz w:val="24"/>
          <w:highlight w:val="none"/>
        </w:rPr>
        <w:t>递交参选文件截止时间前的任何时候，无论出于何种原因，比选人均可对比选文件进行修改。</w:t>
      </w:r>
    </w:p>
    <w:p>
      <w:pPr>
        <w:spacing w:line="360" w:lineRule="auto"/>
        <w:rPr>
          <w:rFonts w:ascii="宋体" w:hAnsi="宋体"/>
          <w:color w:val="auto"/>
          <w:sz w:val="24"/>
          <w:highlight w:val="none"/>
        </w:rPr>
      </w:pPr>
      <w:r>
        <w:rPr>
          <w:rFonts w:hint="eastAsia" w:ascii="宋体" w:hAnsi="宋体"/>
          <w:color w:val="auto"/>
          <w:sz w:val="24"/>
          <w:highlight w:val="none"/>
        </w:rPr>
        <w:t>9.2 比选文件的修改将以书面形式发布在南昌市红谷滩城市投资集团有限公司网站（网址：http://www.hgtct.com），比选文件的修改作为比选文件的组成部分。</w:t>
      </w:r>
    </w:p>
    <w:p>
      <w:pPr>
        <w:spacing w:line="360" w:lineRule="auto"/>
        <w:rPr>
          <w:rFonts w:ascii="宋体" w:hAnsi="宋体"/>
          <w:color w:val="auto"/>
          <w:sz w:val="24"/>
          <w:highlight w:val="none"/>
        </w:rPr>
      </w:pPr>
      <w:r>
        <w:rPr>
          <w:rFonts w:hint="eastAsia" w:ascii="宋体" w:hAnsi="宋体"/>
          <w:color w:val="auto"/>
          <w:sz w:val="24"/>
          <w:highlight w:val="none"/>
        </w:rPr>
        <w:t>9</w:t>
      </w:r>
      <w:r>
        <w:rPr>
          <w:rFonts w:ascii="宋体" w:hAnsi="宋体"/>
          <w:color w:val="auto"/>
          <w:sz w:val="24"/>
          <w:highlight w:val="none"/>
        </w:rPr>
        <w:t xml:space="preserve">.3 </w:t>
      </w:r>
      <w:r>
        <w:rPr>
          <w:rFonts w:hint="eastAsia" w:ascii="宋体" w:hAnsi="宋体"/>
          <w:color w:val="auto"/>
          <w:sz w:val="24"/>
          <w:highlight w:val="none"/>
        </w:rPr>
        <w:t>为使参选人准备参选时有充分时间对比选文件的修改部分进行研究，比选人有权推迟递交参选文件截止时间。</w:t>
      </w:r>
    </w:p>
    <w:p>
      <w:pPr>
        <w:pStyle w:val="46"/>
        <w:spacing w:line="360" w:lineRule="auto"/>
        <w:rPr>
          <w:color w:val="auto"/>
          <w:highlight w:val="none"/>
        </w:rPr>
      </w:pPr>
    </w:p>
    <w:p>
      <w:pPr>
        <w:spacing w:line="360" w:lineRule="auto"/>
        <w:jc w:val="center"/>
        <w:rPr>
          <w:rFonts w:ascii="宋体" w:hAnsi="宋体"/>
          <w:b/>
          <w:bCs/>
          <w:color w:val="auto"/>
          <w:sz w:val="24"/>
          <w:highlight w:val="none"/>
        </w:rPr>
      </w:pPr>
      <w:bookmarkStart w:id="15" w:name="_Toc202172752"/>
      <w:r>
        <w:rPr>
          <w:rFonts w:hint="eastAsia" w:ascii="宋体" w:hAnsi="宋体"/>
          <w:b/>
          <w:bCs/>
          <w:color w:val="auto"/>
          <w:sz w:val="24"/>
          <w:highlight w:val="none"/>
        </w:rPr>
        <w:t>三、参选文件的编制</w:t>
      </w:r>
      <w:bookmarkEnd w:id="15"/>
    </w:p>
    <w:p>
      <w:pPr>
        <w:spacing w:line="360" w:lineRule="auto"/>
        <w:outlineLvl w:val="1"/>
        <w:rPr>
          <w:rFonts w:ascii="宋体" w:hAnsi="宋体"/>
          <w:b/>
          <w:bCs/>
          <w:color w:val="auto"/>
          <w:sz w:val="24"/>
          <w:highlight w:val="none"/>
        </w:rPr>
      </w:pPr>
      <w:bookmarkStart w:id="16" w:name="_Toc202172753"/>
      <w:r>
        <w:rPr>
          <w:rFonts w:hint="eastAsia" w:ascii="宋体" w:hAnsi="宋体"/>
          <w:b/>
          <w:bCs/>
          <w:color w:val="auto"/>
          <w:sz w:val="24"/>
          <w:highlight w:val="none"/>
        </w:rPr>
        <w:t>10. 提示</w:t>
      </w:r>
      <w:bookmarkEnd w:id="16"/>
    </w:p>
    <w:p>
      <w:pPr>
        <w:snapToGrid w:val="0"/>
        <w:spacing w:line="360" w:lineRule="auto"/>
        <w:rPr>
          <w:rFonts w:ascii="宋体" w:hAnsi="宋体"/>
          <w:color w:val="auto"/>
          <w:sz w:val="24"/>
          <w:highlight w:val="none"/>
        </w:rPr>
      </w:pPr>
      <w:r>
        <w:rPr>
          <w:rFonts w:hint="eastAsia" w:ascii="宋体" w:hAnsi="宋体"/>
          <w:color w:val="auto"/>
          <w:sz w:val="24"/>
          <w:highlight w:val="none"/>
        </w:rPr>
        <w:t>10</w:t>
      </w:r>
      <w:r>
        <w:rPr>
          <w:rFonts w:ascii="宋体" w:hAnsi="宋体"/>
          <w:color w:val="auto"/>
          <w:sz w:val="24"/>
          <w:highlight w:val="none"/>
        </w:rPr>
        <w:t xml:space="preserve">.1 </w:t>
      </w:r>
      <w:r>
        <w:rPr>
          <w:rFonts w:hint="eastAsia" w:ascii="宋体" w:hAnsi="宋体"/>
          <w:color w:val="auto"/>
          <w:sz w:val="24"/>
          <w:highlight w:val="none"/>
        </w:rPr>
        <w:t>参选人应认真阅读比选文件的全部内容，不按比选文件要求提供的参选文件和资料，可能导致其参选作无效参选处理。参选人应尽可能提供满足或优于比选文件要求的相关材料及优惠措施，以便比选人选择最优的参选人。</w:t>
      </w:r>
    </w:p>
    <w:p>
      <w:pPr>
        <w:snapToGrid w:val="0"/>
        <w:spacing w:line="360" w:lineRule="auto"/>
        <w:outlineLvl w:val="1"/>
        <w:rPr>
          <w:rFonts w:ascii="宋体" w:hAnsi="宋体"/>
          <w:b/>
          <w:bCs/>
          <w:color w:val="auto"/>
          <w:sz w:val="24"/>
          <w:highlight w:val="none"/>
        </w:rPr>
      </w:pPr>
      <w:bookmarkStart w:id="17" w:name="_Toc202172754"/>
      <w:r>
        <w:rPr>
          <w:rFonts w:hint="eastAsia" w:ascii="宋体" w:hAnsi="宋体"/>
          <w:b/>
          <w:bCs/>
          <w:color w:val="auto"/>
          <w:sz w:val="24"/>
          <w:highlight w:val="none"/>
        </w:rPr>
        <w:t>11. 参选文件计量单位</w:t>
      </w:r>
      <w:bookmarkEnd w:id="17"/>
      <w:r>
        <w:rPr>
          <w:rFonts w:ascii="宋体" w:hAnsi="宋体"/>
          <w:b/>
          <w:bCs/>
          <w:color w:val="auto"/>
          <w:sz w:val="24"/>
          <w:highlight w:val="none"/>
        </w:rPr>
        <w:tab/>
      </w:r>
    </w:p>
    <w:p>
      <w:pPr>
        <w:snapToGrid w:val="0"/>
        <w:spacing w:line="360" w:lineRule="auto"/>
        <w:rPr>
          <w:rFonts w:ascii="宋体" w:hAnsi="宋体"/>
          <w:color w:val="auto"/>
          <w:sz w:val="24"/>
          <w:highlight w:val="none"/>
        </w:rPr>
      </w:pPr>
      <w:r>
        <w:rPr>
          <w:rFonts w:hint="eastAsia" w:ascii="宋体" w:hAnsi="宋体"/>
          <w:color w:val="auto"/>
          <w:sz w:val="24"/>
          <w:highlight w:val="none"/>
        </w:rPr>
        <w:t>11.1参选文件中所使用的计量单位，除比选文件中有特殊要求外，应采用国家法定计量单位。</w:t>
      </w:r>
    </w:p>
    <w:p>
      <w:pPr>
        <w:snapToGrid w:val="0"/>
        <w:spacing w:line="480" w:lineRule="exact"/>
        <w:outlineLvl w:val="1"/>
        <w:rPr>
          <w:rFonts w:ascii="宋体" w:hAnsi="宋体"/>
          <w:b/>
          <w:bCs/>
          <w:color w:val="auto"/>
          <w:sz w:val="24"/>
          <w:highlight w:val="none"/>
        </w:rPr>
      </w:pPr>
      <w:bookmarkStart w:id="18" w:name="_Toc202172755"/>
      <w:r>
        <w:rPr>
          <w:rFonts w:hint="eastAsia" w:ascii="宋体" w:hAnsi="宋体"/>
          <w:b/>
          <w:bCs/>
          <w:color w:val="auto"/>
          <w:sz w:val="24"/>
          <w:highlight w:val="none"/>
        </w:rPr>
        <w:t>12. 参选文件的构成</w:t>
      </w:r>
      <w:bookmarkEnd w:id="18"/>
    </w:p>
    <w:p>
      <w:pPr>
        <w:snapToGrid w:val="0"/>
        <w:spacing w:line="480" w:lineRule="exact"/>
        <w:ind w:left="567" w:hanging="567"/>
        <w:rPr>
          <w:rFonts w:ascii="宋体" w:hAnsi="宋体" w:cs="宋体"/>
          <w:bCs/>
          <w:color w:val="auto"/>
          <w:sz w:val="24"/>
          <w:highlight w:val="none"/>
        </w:rPr>
      </w:pPr>
      <w:bookmarkStart w:id="19" w:name="_Toc202172756"/>
      <w:r>
        <w:rPr>
          <w:rFonts w:hint="eastAsia"/>
          <w:color w:val="auto"/>
          <w:sz w:val="24"/>
          <w:highlight w:val="none"/>
        </w:rPr>
        <w:t>12.1　参选文件由下列部分构成：详见 “第五章附件（参选文件格式）”</w:t>
      </w:r>
    </w:p>
    <w:p>
      <w:pPr>
        <w:snapToGrid w:val="0"/>
        <w:spacing w:line="480" w:lineRule="exact"/>
        <w:outlineLvl w:val="1"/>
        <w:rPr>
          <w:rFonts w:ascii="宋体" w:hAnsi="宋体"/>
          <w:b/>
          <w:bCs/>
          <w:color w:val="auto"/>
          <w:sz w:val="24"/>
          <w:highlight w:val="none"/>
        </w:rPr>
      </w:pPr>
      <w:r>
        <w:rPr>
          <w:rFonts w:hint="eastAsia" w:ascii="宋体" w:hAnsi="宋体"/>
          <w:b/>
          <w:bCs/>
          <w:color w:val="auto"/>
          <w:sz w:val="24"/>
          <w:highlight w:val="none"/>
        </w:rPr>
        <w:t>13. 证明参选人合格和资格的文件</w:t>
      </w:r>
      <w:bookmarkEnd w:id="19"/>
    </w:p>
    <w:p>
      <w:pPr>
        <w:snapToGrid w:val="0"/>
        <w:spacing w:line="480" w:lineRule="exact"/>
        <w:rPr>
          <w:rFonts w:ascii="宋体" w:hAnsi="宋体"/>
          <w:color w:val="auto"/>
          <w:sz w:val="24"/>
          <w:highlight w:val="none"/>
        </w:rPr>
      </w:pPr>
      <w:r>
        <w:rPr>
          <w:rFonts w:hint="eastAsia" w:ascii="宋体" w:hAnsi="宋体"/>
          <w:color w:val="auto"/>
          <w:sz w:val="24"/>
          <w:highlight w:val="none"/>
        </w:rPr>
        <w:t>13.1 参选人应提供证明其合格和资格的证明文件（见“</w:t>
      </w:r>
      <w:r>
        <w:rPr>
          <w:rFonts w:hint="eastAsia" w:ascii="宋体" w:hAnsi="宋体" w:cs="宋体"/>
          <w:bCs/>
          <w:color w:val="auto"/>
          <w:sz w:val="24"/>
          <w:highlight w:val="none"/>
        </w:rPr>
        <w:t>第一章 比选公告”</w:t>
      </w:r>
      <w:r>
        <w:rPr>
          <w:rFonts w:hint="eastAsia" w:hAnsi="宋体" w:cs="宋体"/>
          <w:bCs/>
          <w:color w:val="auto"/>
          <w:sz w:val="24"/>
          <w:highlight w:val="none"/>
        </w:rPr>
        <w:t>中“</w:t>
      </w:r>
      <w:r>
        <w:rPr>
          <w:rFonts w:hint="eastAsia" w:ascii="宋体" w:hAnsi="宋体" w:cs="宋体"/>
          <w:bCs/>
          <w:color w:val="auto"/>
          <w:sz w:val="24"/>
          <w:highlight w:val="none"/>
        </w:rPr>
        <w:t>三、参选人资格要求</w:t>
      </w:r>
      <w:r>
        <w:rPr>
          <w:rFonts w:hint="eastAsia" w:hAnsi="宋体" w:cs="宋体"/>
          <w:bCs/>
          <w:color w:val="auto"/>
          <w:sz w:val="24"/>
          <w:highlight w:val="none"/>
        </w:rPr>
        <w:t>”要求提供的材料</w:t>
      </w:r>
      <w:r>
        <w:rPr>
          <w:rFonts w:hint="eastAsia" w:ascii="宋体" w:hAnsi="宋体"/>
          <w:color w:val="auto"/>
          <w:sz w:val="24"/>
          <w:highlight w:val="none"/>
        </w:rPr>
        <w:t>”）。</w:t>
      </w:r>
    </w:p>
    <w:p>
      <w:pPr>
        <w:snapToGrid w:val="0"/>
        <w:spacing w:line="480" w:lineRule="exact"/>
        <w:rPr>
          <w:rFonts w:ascii="宋体" w:hAnsi="宋体"/>
          <w:color w:val="auto"/>
          <w:sz w:val="24"/>
          <w:highlight w:val="none"/>
        </w:rPr>
      </w:pPr>
      <w:r>
        <w:rPr>
          <w:rFonts w:ascii="宋体" w:hAnsi="宋体"/>
          <w:color w:val="auto"/>
          <w:sz w:val="24"/>
          <w:highlight w:val="none"/>
        </w:rPr>
        <w:t>1</w:t>
      </w:r>
      <w:r>
        <w:rPr>
          <w:rFonts w:hint="eastAsia" w:ascii="宋体" w:hAnsi="宋体"/>
          <w:color w:val="auto"/>
          <w:sz w:val="24"/>
          <w:highlight w:val="none"/>
        </w:rPr>
        <w:t>3</w:t>
      </w:r>
      <w:r>
        <w:rPr>
          <w:rFonts w:ascii="宋体" w:hAnsi="宋体"/>
          <w:color w:val="auto"/>
          <w:sz w:val="24"/>
          <w:highlight w:val="none"/>
        </w:rPr>
        <w:t>.</w:t>
      </w:r>
      <w:r>
        <w:rPr>
          <w:rFonts w:hint="eastAsia" w:ascii="宋体" w:hAnsi="宋体"/>
          <w:color w:val="auto"/>
          <w:sz w:val="24"/>
          <w:highlight w:val="none"/>
        </w:rPr>
        <w:t>2其他资格证明文件。</w:t>
      </w:r>
      <w:bookmarkStart w:id="42" w:name="_GoBack"/>
      <w:bookmarkEnd w:id="42"/>
    </w:p>
    <w:p>
      <w:pPr>
        <w:spacing w:line="480" w:lineRule="exact"/>
        <w:outlineLvl w:val="1"/>
        <w:rPr>
          <w:rFonts w:ascii="宋体" w:hAnsi="宋体"/>
          <w:b/>
          <w:bCs/>
          <w:color w:val="auto"/>
          <w:sz w:val="24"/>
          <w:highlight w:val="none"/>
        </w:rPr>
      </w:pPr>
      <w:bookmarkStart w:id="20" w:name="_Toc202172757"/>
      <w:r>
        <w:rPr>
          <w:rFonts w:hint="eastAsia" w:ascii="宋体" w:hAnsi="宋体"/>
          <w:b/>
          <w:bCs/>
          <w:color w:val="auto"/>
          <w:sz w:val="24"/>
          <w:highlight w:val="none"/>
        </w:rPr>
        <w:t>14. 证明工程、货物、服务符合比选文件规定的文件</w:t>
      </w:r>
      <w:bookmarkEnd w:id="20"/>
    </w:p>
    <w:p>
      <w:pPr>
        <w:spacing w:line="480" w:lineRule="exact"/>
        <w:rPr>
          <w:rFonts w:ascii="宋体" w:hAnsi="宋体"/>
          <w:color w:val="auto"/>
          <w:sz w:val="24"/>
          <w:highlight w:val="none"/>
        </w:rPr>
      </w:pPr>
      <w:r>
        <w:rPr>
          <w:rFonts w:hint="eastAsia" w:ascii="宋体" w:hAnsi="宋体"/>
          <w:color w:val="auto"/>
          <w:sz w:val="24"/>
          <w:highlight w:val="none"/>
        </w:rPr>
        <w:t>14</w:t>
      </w:r>
      <w:r>
        <w:rPr>
          <w:rFonts w:ascii="宋体" w:hAnsi="宋体"/>
          <w:color w:val="auto"/>
          <w:sz w:val="24"/>
          <w:highlight w:val="none"/>
        </w:rPr>
        <w:t>.1</w:t>
      </w:r>
      <w:r>
        <w:rPr>
          <w:rFonts w:hint="eastAsia" w:ascii="宋体" w:hAnsi="宋体"/>
          <w:color w:val="auto"/>
          <w:sz w:val="24"/>
          <w:highlight w:val="none"/>
        </w:rPr>
        <w:t xml:space="preserve"> 参选人应提交其工程、货物、服务符合比选文件规定的证明，作为参选文件的一部分。</w:t>
      </w:r>
    </w:p>
    <w:p>
      <w:pPr>
        <w:spacing w:line="360" w:lineRule="auto"/>
        <w:rPr>
          <w:rFonts w:ascii="宋体" w:hAnsi="宋体"/>
          <w:color w:val="auto"/>
          <w:sz w:val="24"/>
          <w:highlight w:val="none"/>
        </w:rPr>
      </w:pPr>
      <w:r>
        <w:rPr>
          <w:rFonts w:hint="eastAsia" w:ascii="宋体" w:hAnsi="宋体"/>
          <w:color w:val="auto"/>
          <w:sz w:val="24"/>
          <w:highlight w:val="none"/>
        </w:rPr>
        <w:t>14</w:t>
      </w:r>
      <w:r>
        <w:rPr>
          <w:rFonts w:ascii="宋体" w:hAnsi="宋体"/>
          <w:color w:val="auto"/>
          <w:sz w:val="24"/>
          <w:highlight w:val="none"/>
        </w:rPr>
        <w:t>.</w:t>
      </w:r>
      <w:r>
        <w:rPr>
          <w:rFonts w:hint="eastAsia" w:ascii="宋体" w:hAnsi="宋体"/>
          <w:color w:val="auto"/>
          <w:sz w:val="24"/>
          <w:highlight w:val="none"/>
        </w:rPr>
        <w:t>2工程、货物、服务与比选文件的要求相一致的证明，可以是文字资料、图纸和数据，包括：</w:t>
      </w:r>
    </w:p>
    <w:p>
      <w:pPr>
        <w:spacing w:line="360" w:lineRule="auto"/>
        <w:rPr>
          <w:rFonts w:ascii="宋体" w:hAnsi="宋体"/>
          <w:color w:val="auto"/>
          <w:sz w:val="24"/>
          <w:highlight w:val="none"/>
        </w:rPr>
      </w:pPr>
      <w:r>
        <w:rPr>
          <w:rFonts w:hint="eastAsia" w:ascii="宋体" w:hAnsi="宋体"/>
          <w:color w:val="auto"/>
          <w:sz w:val="24"/>
          <w:highlight w:val="none"/>
        </w:rPr>
        <w:t>1</w:t>
      </w:r>
      <w:r>
        <w:rPr>
          <w:rFonts w:ascii="宋体" w:hAnsi="宋体"/>
          <w:color w:val="auto"/>
          <w:sz w:val="24"/>
          <w:highlight w:val="none"/>
        </w:rPr>
        <w:t>)</w:t>
      </w:r>
      <w:r>
        <w:rPr>
          <w:rFonts w:hint="eastAsia" w:ascii="宋体" w:hAnsi="宋体"/>
          <w:color w:val="auto"/>
          <w:sz w:val="24"/>
          <w:highlight w:val="none"/>
        </w:rPr>
        <w:t xml:space="preserve"> 工程、货物、服务主要内容的详细说明。</w:t>
      </w:r>
    </w:p>
    <w:p>
      <w:pPr>
        <w:snapToGrid w:val="0"/>
        <w:spacing w:line="360" w:lineRule="auto"/>
        <w:rPr>
          <w:rFonts w:ascii="宋体" w:hAnsi="宋体"/>
          <w:color w:val="auto"/>
          <w:sz w:val="24"/>
          <w:highlight w:val="none"/>
        </w:rPr>
      </w:pPr>
      <w:r>
        <w:rPr>
          <w:rFonts w:hint="eastAsia" w:ascii="宋体" w:hAnsi="宋体"/>
          <w:color w:val="auto"/>
          <w:sz w:val="24"/>
          <w:highlight w:val="none"/>
        </w:rPr>
        <w:t>2）对照比选文件工程、货物、项目需求，逐条说明所提供工程、货物、服务已对比选文件作出了实质性响应。</w:t>
      </w:r>
    </w:p>
    <w:p>
      <w:pPr>
        <w:snapToGrid w:val="0"/>
        <w:spacing w:line="360" w:lineRule="auto"/>
        <w:rPr>
          <w:rFonts w:ascii="宋体" w:hAnsi="宋体"/>
          <w:color w:val="auto"/>
          <w:sz w:val="24"/>
          <w:highlight w:val="none"/>
        </w:rPr>
      </w:pPr>
      <w:r>
        <w:rPr>
          <w:rFonts w:hint="eastAsia" w:ascii="宋体" w:hAnsi="宋体"/>
          <w:color w:val="auto"/>
          <w:sz w:val="24"/>
          <w:highlight w:val="none"/>
        </w:rPr>
        <w:t>3）商务条款的偏差和例外。</w:t>
      </w:r>
    </w:p>
    <w:p>
      <w:pPr>
        <w:snapToGrid w:val="0"/>
        <w:spacing w:line="360" w:lineRule="auto"/>
        <w:outlineLvl w:val="1"/>
        <w:rPr>
          <w:rFonts w:ascii="宋体" w:hAnsi="宋体"/>
          <w:b/>
          <w:bCs/>
          <w:color w:val="auto"/>
          <w:sz w:val="24"/>
          <w:highlight w:val="none"/>
        </w:rPr>
      </w:pPr>
      <w:bookmarkStart w:id="21" w:name="_Toc202172758"/>
      <w:r>
        <w:rPr>
          <w:rFonts w:hint="eastAsia" w:ascii="宋体" w:hAnsi="宋体"/>
          <w:b/>
          <w:bCs/>
          <w:color w:val="auto"/>
          <w:sz w:val="24"/>
          <w:highlight w:val="none"/>
        </w:rPr>
        <w:t>15. 参选报价</w:t>
      </w:r>
      <w:bookmarkEnd w:id="21"/>
      <w:bookmarkStart w:id="22" w:name="_Toc202172759"/>
    </w:p>
    <w:p>
      <w:pPr>
        <w:snapToGrid w:val="0"/>
        <w:spacing w:line="360" w:lineRule="auto"/>
        <w:rPr>
          <w:rFonts w:hAnsi="宋体" w:cs="宋体"/>
          <w:bCs/>
          <w:color w:val="auto"/>
          <w:sz w:val="24"/>
          <w:highlight w:val="none"/>
        </w:rPr>
      </w:pPr>
      <w:r>
        <w:rPr>
          <w:rFonts w:hint="eastAsia" w:hAnsi="宋体" w:cs="宋体"/>
          <w:bCs/>
          <w:color w:val="auto"/>
          <w:sz w:val="24"/>
          <w:highlight w:val="none"/>
        </w:rPr>
        <w:t>15.1 参选报价应是比选文件所约定的比选范围内全部工作内容的价格体现。</w:t>
      </w:r>
    </w:p>
    <w:p>
      <w:pPr>
        <w:pStyle w:val="46"/>
        <w:snapToGrid w:val="0"/>
        <w:spacing w:line="360" w:lineRule="auto"/>
        <w:rPr>
          <w:rFonts w:hAnsi="宋体" w:cs="宋体"/>
          <w:bCs/>
          <w:color w:val="auto"/>
          <w:kern w:val="2"/>
          <w:sz w:val="24"/>
          <w:szCs w:val="24"/>
          <w:highlight w:val="none"/>
        </w:rPr>
      </w:pPr>
      <w:r>
        <w:rPr>
          <w:rFonts w:hint="eastAsia" w:hAnsi="宋体" w:cs="宋体"/>
          <w:bCs/>
          <w:color w:val="auto"/>
          <w:kern w:val="2"/>
          <w:sz w:val="24"/>
          <w:szCs w:val="24"/>
          <w:highlight w:val="none"/>
        </w:rPr>
        <w:t>15.2 参选人工程投资估算价超出比选人本项目计划投资额为无效响应。</w:t>
      </w:r>
    </w:p>
    <w:p>
      <w:pPr>
        <w:pStyle w:val="46"/>
        <w:snapToGrid w:val="0"/>
        <w:spacing w:line="360" w:lineRule="auto"/>
        <w:rPr>
          <w:rFonts w:hAnsi="宋体" w:cs="宋体"/>
          <w:bCs/>
          <w:color w:val="auto"/>
          <w:kern w:val="2"/>
          <w:sz w:val="24"/>
          <w:szCs w:val="24"/>
          <w:highlight w:val="none"/>
        </w:rPr>
      </w:pPr>
      <w:r>
        <w:rPr>
          <w:rFonts w:hint="eastAsia" w:hAnsi="宋体" w:cs="宋体"/>
          <w:bCs/>
          <w:color w:val="auto"/>
          <w:kern w:val="2"/>
          <w:sz w:val="24"/>
          <w:szCs w:val="24"/>
          <w:highlight w:val="none"/>
        </w:rPr>
        <w:t xml:space="preserve">15.3 参选报价方式： </w:t>
      </w:r>
    </w:p>
    <w:p>
      <w:pPr>
        <w:pStyle w:val="46"/>
        <w:snapToGrid w:val="0"/>
        <w:spacing w:line="360" w:lineRule="auto"/>
        <w:ind w:firstLine="480" w:firstLineChars="200"/>
        <w:rPr>
          <w:rFonts w:hAnsi="宋体" w:cs="宋体"/>
          <w:bCs/>
          <w:color w:val="auto"/>
          <w:kern w:val="2"/>
          <w:sz w:val="24"/>
          <w:szCs w:val="24"/>
          <w:highlight w:val="none"/>
        </w:rPr>
      </w:pPr>
      <w:r>
        <w:rPr>
          <w:rFonts w:hint="eastAsia" w:hAnsi="宋体" w:cs="宋体"/>
          <w:bCs/>
          <w:color w:val="auto"/>
          <w:kern w:val="2"/>
          <w:sz w:val="24"/>
          <w:szCs w:val="24"/>
          <w:highlight w:val="none"/>
        </w:rPr>
        <w:t>比选人设定的招标要约总价</w:t>
      </w:r>
      <w:r>
        <w:rPr>
          <w:rFonts w:hint="eastAsia" w:hAnsi="宋体" w:cs="宋体"/>
          <w:bCs/>
          <w:color w:val="auto"/>
          <w:kern w:val="2"/>
          <w:sz w:val="24"/>
          <w:szCs w:val="24"/>
          <w:highlight w:val="none"/>
          <w:u w:val="single"/>
        </w:rPr>
        <w:t xml:space="preserve"> 514028.51 </w:t>
      </w:r>
      <w:r>
        <w:rPr>
          <w:rFonts w:hint="eastAsia" w:hAnsi="宋体" w:cs="宋体"/>
          <w:bCs/>
          <w:color w:val="auto"/>
          <w:kern w:val="2"/>
          <w:sz w:val="24"/>
          <w:szCs w:val="24"/>
          <w:highlight w:val="none"/>
        </w:rPr>
        <w:t>元，参选人参选报价必须响应招标要约总价和单价，否则按无效响应处理。</w:t>
      </w:r>
    </w:p>
    <w:p>
      <w:pPr>
        <w:pStyle w:val="46"/>
        <w:snapToGrid w:val="0"/>
        <w:spacing w:line="360" w:lineRule="auto"/>
        <w:rPr>
          <w:rFonts w:hAnsi="宋体" w:cs="宋体"/>
          <w:bCs/>
          <w:color w:val="auto"/>
          <w:kern w:val="2"/>
          <w:sz w:val="24"/>
          <w:szCs w:val="24"/>
          <w:highlight w:val="none"/>
        </w:rPr>
      </w:pPr>
      <w:r>
        <w:rPr>
          <w:rFonts w:hint="eastAsia" w:hAnsi="宋体" w:cs="宋体"/>
          <w:bCs/>
          <w:color w:val="auto"/>
          <w:kern w:val="2"/>
          <w:sz w:val="24"/>
          <w:szCs w:val="24"/>
          <w:highlight w:val="none"/>
        </w:rPr>
        <w:t>15.4 工程收费的调整</w:t>
      </w:r>
    </w:p>
    <w:p>
      <w:pPr>
        <w:pStyle w:val="46"/>
        <w:snapToGrid w:val="0"/>
        <w:spacing w:line="360" w:lineRule="auto"/>
        <w:ind w:firstLine="480" w:firstLineChars="200"/>
        <w:rPr>
          <w:rFonts w:hAnsi="宋体" w:cs="宋体"/>
          <w:bCs/>
          <w:color w:val="auto"/>
          <w:kern w:val="2"/>
          <w:sz w:val="24"/>
          <w:szCs w:val="24"/>
          <w:highlight w:val="none"/>
        </w:rPr>
      </w:pPr>
      <w:r>
        <w:rPr>
          <w:rFonts w:hint="eastAsia" w:hAnsi="宋体" w:cs="宋体"/>
          <w:bCs/>
          <w:color w:val="auto"/>
          <w:kern w:val="2"/>
          <w:sz w:val="24"/>
          <w:szCs w:val="24"/>
          <w:highlight w:val="none"/>
        </w:rPr>
        <w:t>参选人应充分考虑市场环境和施工要素价格的变化，施工中属工程项目比选范围内的费用不得调整。并应认真考虑自身商务标中参选风险以及中选后自身的经济承受能力，合理确定利润，自主进行报价，不得盲目压价，低于成本恶性竞争。</w:t>
      </w:r>
    </w:p>
    <w:bookmarkEnd w:id="22"/>
    <w:p>
      <w:pPr>
        <w:snapToGrid w:val="0"/>
        <w:spacing w:line="360" w:lineRule="auto"/>
        <w:outlineLvl w:val="1"/>
        <w:rPr>
          <w:rFonts w:ascii="宋体" w:hAnsi="宋体"/>
          <w:b/>
          <w:bCs/>
          <w:color w:val="auto"/>
          <w:sz w:val="24"/>
          <w:highlight w:val="none"/>
        </w:rPr>
      </w:pPr>
      <w:bookmarkStart w:id="23" w:name="_Toc202172760"/>
      <w:r>
        <w:rPr>
          <w:rFonts w:hint="eastAsia" w:ascii="宋体" w:hAnsi="宋体"/>
          <w:b/>
          <w:bCs/>
          <w:color w:val="auto"/>
          <w:sz w:val="24"/>
          <w:highlight w:val="none"/>
        </w:rPr>
        <w:t>16. 参选有效期</w:t>
      </w:r>
      <w:bookmarkEnd w:id="23"/>
    </w:p>
    <w:p>
      <w:pPr>
        <w:snapToGrid w:val="0"/>
        <w:spacing w:line="360" w:lineRule="auto"/>
        <w:rPr>
          <w:rFonts w:ascii="宋体" w:hAnsi="宋体"/>
          <w:color w:val="auto"/>
          <w:sz w:val="24"/>
          <w:highlight w:val="none"/>
        </w:rPr>
      </w:pPr>
      <w:r>
        <w:rPr>
          <w:rFonts w:ascii="宋体" w:hAnsi="宋体"/>
          <w:color w:val="auto"/>
          <w:sz w:val="24"/>
          <w:highlight w:val="none"/>
        </w:rPr>
        <w:t>1</w:t>
      </w:r>
      <w:r>
        <w:rPr>
          <w:rFonts w:hint="eastAsia" w:ascii="宋体" w:hAnsi="宋体"/>
          <w:color w:val="auto"/>
          <w:sz w:val="24"/>
          <w:highlight w:val="none"/>
        </w:rPr>
        <w:t>6</w:t>
      </w:r>
      <w:r>
        <w:rPr>
          <w:rFonts w:ascii="宋体" w:hAnsi="宋体"/>
          <w:color w:val="auto"/>
          <w:sz w:val="24"/>
          <w:highlight w:val="none"/>
        </w:rPr>
        <w:t>.1</w:t>
      </w:r>
      <w:r>
        <w:rPr>
          <w:rFonts w:hint="eastAsia" w:ascii="宋体" w:hAnsi="宋体"/>
          <w:color w:val="auto"/>
          <w:sz w:val="24"/>
          <w:highlight w:val="none"/>
        </w:rPr>
        <w:t xml:space="preserve"> 参选有效期为自比选之日起90个日历日内保持有效。参选有效期不足的参选将被视为非响应性参选作无效参选处理。</w:t>
      </w:r>
    </w:p>
    <w:p>
      <w:pPr>
        <w:snapToGrid w:val="0"/>
        <w:spacing w:line="360" w:lineRule="auto"/>
        <w:rPr>
          <w:rFonts w:ascii="宋体" w:hAnsi="宋体"/>
          <w:color w:val="auto"/>
          <w:sz w:val="24"/>
          <w:highlight w:val="none"/>
        </w:rPr>
      </w:pPr>
      <w:r>
        <w:rPr>
          <w:rFonts w:ascii="宋体" w:hAnsi="宋体"/>
          <w:color w:val="auto"/>
          <w:sz w:val="24"/>
          <w:highlight w:val="none"/>
        </w:rPr>
        <w:t>1</w:t>
      </w:r>
      <w:r>
        <w:rPr>
          <w:rFonts w:hint="eastAsia" w:ascii="宋体" w:hAnsi="宋体"/>
          <w:color w:val="auto"/>
          <w:sz w:val="24"/>
          <w:highlight w:val="none"/>
        </w:rPr>
        <w:t>6</w:t>
      </w:r>
      <w:r>
        <w:rPr>
          <w:rFonts w:ascii="宋体" w:hAnsi="宋体"/>
          <w:color w:val="auto"/>
          <w:sz w:val="24"/>
          <w:highlight w:val="none"/>
        </w:rPr>
        <w:t xml:space="preserve">.2 </w:t>
      </w:r>
      <w:r>
        <w:rPr>
          <w:rFonts w:hint="eastAsia" w:ascii="宋体" w:hAnsi="宋体"/>
          <w:color w:val="auto"/>
          <w:sz w:val="24"/>
          <w:highlight w:val="none"/>
        </w:rPr>
        <w:t>在特殊情况下，比选人可延长参选有效期。这种要求和答复都应以书面形式进行。参选人可以拒绝接受延期要求，同意延长有效期的参选人不能修改其参选文件。</w:t>
      </w:r>
    </w:p>
    <w:p>
      <w:pPr>
        <w:spacing w:line="360" w:lineRule="auto"/>
        <w:outlineLvl w:val="1"/>
        <w:rPr>
          <w:rFonts w:ascii="宋体" w:hAnsi="宋体"/>
          <w:b/>
          <w:bCs/>
          <w:color w:val="auto"/>
          <w:sz w:val="24"/>
          <w:highlight w:val="none"/>
        </w:rPr>
      </w:pPr>
      <w:bookmarkStart w:id="24" w:name="_Toc202172761"/>
      <w:r>
        <w:rPr>
          <w:rFonts w:hint="eastAsia" w:ascii="宋体" w:hAnsi="宋体"/>
          <w:b/>
          <w:bCs/>
          <w:color w:val="auto"/>
          <w:sz w:val="24"/>
          <w:highlight w:val="none"/>
        </w:rPr>
        <w:t>17.参选文件的签署及规定</w:t>
      </w:r>
      <w:bookmarkEnd w:id="24"/>
    </w:p>
    <w:p>
      <w:pPr>
        <w:spacing w:line="360" w:lineRule="auto"/>
        <w:rPr>
          <w:rFonts w:ascii="宋体" w:hAnsi="宋体"/>
          <w:color w:val="auto"/>
          <w:sz w:val="24"/>
          <w:highlight w:val="none"/>
        </w:rPr>
      </w:pPr>
      <w:r>
        <w:rPr>
          <w:rFonts w:ascii="宋体" w:hAnsi="宋体"/>
          <w:color w:val="auto"/>
          <w:sz w:val="24"/>
          <w:highlight w:val="none"/>
        </w:rPr>
        <w:t>1</w:t>
      </w:r>
      <w:r>
        <w:rPr>
          <w:rFonts w:hint="eastAsia" w:ascii="宋体" w:hAnsi="宋体"/>
          <w:color w:val="auto"/>
          <w:sz w:val="24"/>
          <w:highlight w:val="none"/>
        </w:rPr>
        <w:t>7</w:t>
      </w:r>
      <w:r>
        <w:rPr>
          <w:rFonts w:ascii="宋体" w:hAnsi="宋体"/>
          <w:color w:val="auto"/>
          <w:sz w:val="24"/>
          <w:highlight w:val="none"/>
        </w:rPr>
        <w:t>.1</w:t>
      </w:r>
      <w:r>
        <w:rPr>
          <w:rFonts w:hint="eastAsia" w:ascii="宋体" w:hAnsi="宋体"/>
          <w:color w:val="auto"/>
          <w:sz w:val="24"/>
          <w:highlight w:val="none"/>
        </w:rPr>
        <w:t xml:space="preserve"> 参选文件份数详见“</w:t>
      </w:r>
      <w:r>
        <w:rPr>
          <w:rFonts w:hint="eastAsia" w:ascii="宋体" w:hAnsi="宋体" w:cs="宋体"/>
          <w:bCs/>
          <w:color w:val="auto"/>
          <w:sz w:val="24"/>
          <w:highlight w:val="none"/>
        </w:rPr>
        <w:t>参选人须知前附表</w:t>
      </w:r>
      <w:r>
        <w:rPr>
          <w:rFonts w:hint="eastAsia" w:ascii="宋体" w:hAnsi="宋体"/>
          <w:color w:val="auto"/>
          <w:sz w:val="24"/>
          <w:highlight w:val="none"/>
        </w:rPr>
        <w:t>”，本项目纸质版参选文件请标明“正本”或“副本”。若正本和副本不符，以正本为准。</w:t>
      </w:r>
    </w:p>
    <w:p>
      <w:pPr>
        <w:spacing w:line="360" w:lineRule="auto"/>
        <w:rPr>
          <w:rFonts w:ascii="宋体" w:hAnsi="宋体"/>
          <w:color w:val="auto"/>
          <w:sz w:val="24"/>
          <w:highlight w:val="none"/>
        </w:rPr>
      </w:pPr>
      <w:r>
        <w:rPr>
          <w:rFonts w:ascii="宋体" w:hAnsi="宋体"/>
          <w:color w:val="auto"/>
          <w:sz w:val="24"/>
          <w:highlight w:val="none"/>
        </w:rPr>
        <w:t>1</w:t>
      </w:r>
      <w:r>
        <w:rPr>
          <w:rFonts w:hint="eastAsia" w:ascii="宋体" w:hAnsi="宋体"/>
          <w:color w:val="auto"/>
          <w:sz w:val="24"/>
          <w:highlight w:val="none"/>
        </w:rPr>
        <w:t>7</w:t>
      </w:r>
      <w:r>
        <w:rPr>
          <w:rFonts w:ascii="宋体" w:hAnsi="宋体"/>
          <w:color w:val="auto"/>
          <w:sz w:val="24"/>
          <w:highlight w:val="none"/>
        </w:rPr>
        <w:t>.</w:t>
      </w:r>
      <w:r>
        <w:rPr>
          <w:rFonts w:hint="eastAsia" w:ascii="宋体" w:hAnsi="宋体"/>
          <w:color w:val="auto"/>
          <w:sz w:val="24"/>
          <w:highlight w:val="none"/>
        </w:rPr>
        <w:t>2本项目纸质版参选文件的正副本必须打印，并由参选人加盖公章和法定代表人（或经正式授权的代表）在本项目纸质版参选文件上签章（或签字）。</w:t>
      </w:r>
    </w:p>
    <w:p>
      <w:pPr>
        <w:spacing w:line="360" w:lineRule="auto"/>
        <w:rPr>
          <w:rFonts w:ascii="宋体" w:hAnsi="宋体"/>
          <w:color w:val="auto"/>
          <w:sz w:val="24"/>
          <w:highlight w:val="none"/>
        </w:rPr>
      </w:pPr>
      <w:r>
        <w:rPr>
          <w:rFonts w:ascii="宋体" w:hAnsi="宋体"/>
          <w:color w:val="auto"/>
          <w:sz w:val="24"/>
          <w:highlight w:val="none"/>
        </w:rPr>
        <w:t>1</w:t>
      </w:r>
      <w:r>
        <w:rPr>
          <w:rFonts w:hint="eastAsia" w:ascii="宋体" w:hAnsi="宋体"/>
          <w:color w:val="auto"/>
          <w:sz w:val="24"/>
          <w:highlight w:val="none"/>
        </w:rPr>
        <w:t>7</w:t>
      </w:r>
      <w:r>
        <w:rPr>
          <w:rFonts w:ascii="宋体" w:hAnsi="宋体"/>
          <w:color w:val="auto"/>
          <w:sz w:val="24"/>
          <w:highlight w:val="none"/>
        </w:rPr>
        <w:t>.3</w:t>
      </w:r>
      <w:r>
        <w:rPr>
          <w:rFonts w:hint="eastAsia" w:ascii="宋体" w:hAnsi="宋体"/>
          <w:color w:val="auto"/>
          <w:sz w:val="24"/>
          <w:highlight w:val="none"/>
        </w:rPr>
        <w:t xml:space="preserve"> 本项目纸质版参选文件不得涂改和增删，如有修改，必须由本项目纸质版参选文件签字人签字或盖章，本项目纸质版参选文件加盖骑缝公章的视为每页均加盖了公章。</w:t>
      </w:r>
    </w:p>
    <w:p>
      <w:pPr>
        <w:spacing w:line="360" w:lineRule="auto"/>
        <w:rPr>
          <w:rFonts w:ascii="宋体" w:hAnsi="宋体"/>
          <w:color w:val="auto"/>
          <w:sz w:val="24"/>
          <w:highlight w:val="none"/>
        </w:rPr>
      </w:pPr>
      <w:r>
        <w:rPr>
          <w:rFonts w:ascii="宋体" w:hAnsi="宋体"/>
          <w:color w:val="auto"/>
          <w:sz w:val="24"/>
          <w:highlight w:val="none"/>
        </w:rPr>
        <w:t>1</w:t>
      </w:r>
      <w:r>
        <w:rPr>
          <w:rFonts w:hint="eastAsia" w:ascii="宋体" w:hAnsi="宋体"/>
          <w:color w:val="auto"/>
          <w:sz w:val="24"/>
          <w:highlight w:val="none"/>
        </w:rPr>
        <w:t>7</w:t>
      </w:r>
      <w:r>
        <w:rPr>
          <w:rFonts w:ascii="宋体" w:hAnsi="宋体"/>
          <w:color w:val="auto"/>
          <w:sz w:val="24"/>
          <w:highlight w:val="none"/>
        </w:rPr>
        <w:t>.4</w:t>
      </w:r>
      <w:r>
        <w:rPr>
          <w:rFonts w:hint="eastAsia" w:ascii="宋体" w:hAnsi="宋体"/>
          <w:color w:val="auto"/>
          <w:sz w:val="24"/>
          <w:highlight w:val="none"/>
        </w:rPr>
        <w:t xml:space="preserve"> 本项目纸质版参选文件因字迹潦草或表达不清所引起的后果由参选人负责。</w:t>
      </w:r>
    </w:p>
    <w:p>
      <w:pPr>
        <w:spacing w:line="360" w:lineRule="auto"/>
        <w:rPr>
          <w:rFonts w:ascii="宋体" w:hAnsi="宋体"/>
          <w:color w:val="auto"/>
          <w:sz w:val="24"/>
          <w:highlight w:val="none"/>
        </w:rPr>
      </w:pPr>
      <w:r>
        <w:rPr>
          <w:rFonts w:hint="eastAsia" w:ascii="宋体" w:hAnsi="宋体"/>
          <w:color w:val="auto"/>
          <w:sz w:val="24"/>
          <w:highlight w:val="none"/>
        </w:rPr>
        <w:t>17</w:t>
      </w:r>
      <w:r>
        <w:rPr>
          <w:rFonts w:ascii="宋体" w:hAnsi="宋体"/>
          <w:color w:val="auto"/>
          <w:sz w:val="24"/>
          <w:highlight w:val="none"/>
        </w:rPr>
        <w:t>.</w:t>
      </w:r>
      <w:r>
        <w:rPr>
          <w:rFonts w:hint="eastAsia" w:ascii="宋体" w:hAnsi="宋体"/>
          <w:color w:val="auto"/>
          <w:sz w:val="24"/>
          <w:highlight w:val="none"/>
        </w:rPr>
        <w:t>5 电报、电传、传真形式的参选概不接受。</w:t>
      </w:r>
    </w:p>
    <w:p>
      <w:pPr>
        <w:spacing w:line="360" w:lineRule="auto"/>
        <w:jc w:val="center"/>
        <w:rPr>
          <w:rFonts w:ascii="宋体" w:hAnsi="宋体"/>
          <w:b/>
          <w:bCs/>
          <w:color w:val="auto"/>
          <w:sz w:val="24"/>
          <w:highlight w:val="none"/>
        </w:rPr>
      </w:pPr>
      <w:bookmarkStart w:id="25" w:name="_Toc202172762"/>
    </w:p>
    <w:p>
      <w:pPr>
        <w:spacing w:line="360" w:lineRule="auto"/>
        <w:jc w:val="center"/>
        <w:rPr>
          <w:rFonts w:ascii="宋体" w:hAnsi="宋体"/>
          <w:b/>
          <w:bCs/>
          <w:color w:val="auto"/>
          <w:sz w:val="24"/>
          <w:highlight w:val="none"/>
        </w:rPr>
      </w:pPr>
      <w:r>
        <w:rPr>
          <w:rFonts w:hint="eastAsia" w:ascii="宋体" w:hAnsi="宋体"/>
          <w:b/>
          <w:bCs/>
          <w:color w:val="auto"/>
          <w:sz w:val="24"/>
          <w:highlight w:val="none"/>
        </w:rPr>
        <w:t>四、参选文件的递交</w:t>
      </w:r>
      <w:bookmarkEnd w:id="25"/>
    </w:p>
    <w:p>
      <w:pPr>
        <w:snapToGrid w:val="0"/>
        <w:spacing w:line="360" w:lineRule="auto"/>
        <w:outlineLvl w:val="1"/>
        <w:rPr>
          <w:rFonts w:ascii="宋体" w:hAnsi="宋体"/>
          <w:b/>
          <w:bCs/>
          <w:color w:val="auto"/>
          <w:sz w:val="24"/>
          <w:highlight w:val="none"/>
        </w:rPr>
      </w:pPr>
      <w:bookmarkStart w:id="26" w:name="_Toc202172763"/>
      <w:r>
        <w:rPr>
          <w:rFonts w:hint="eastAsia" w:ascii="宋体" w:hAnsi="宋体"/>
          <w:b/>
          <w:bCs/>
          <w:color w:val="auto"/>
          <w:sz w:val="24"/>
          <w:highlight w:val="none"/>
        </w:rPr>
        <w:t>18. 参选文件的密封及标记</w:t>
      </w:r>
      <w:bookmarkEnd w:id="26"/>
    </w:p>
    <w:p>
      <w:pPr>
        <w:pStyle w:val="46"/>
        <w:snapToGrid w:val="0"/>
        <w:spacing w:line="360" w:lineRule="auto"/>
        <w:rPr>
          <w:rFonts w:hAnsi="宋体" w:cs="宋体"/>
          <w:bCs/>
          <w:color w:val="auto"/>
          <w:kern w:val="2"/>
          <w:sz w:val="24"/>
          <w:szCs w:val="24"/>
          <w:highlight w:val="none"/>
        </w:rPr>
      </w:pPr>
      <w:r>
        <w:rPr>
          <w:rFonts w:hint="eastAsia" w:hAnsi="宋体" w:cs="宋体"/>
          <w:bCs/>
          <w:color w:val="auto"/>
          <w:kern w:val="2"/>
          <w:sz w:val="24"/>
          <w:szCs w:val="24"/>
          <w:highlight w:val="none"/>
        </w:rPr>
        <w:t>18.1 参选人应将参选文件按正、副本分别装订成册（正本一份，副本贰份），在每个文本封面上标明“正本、副本”，以及项目名称、项目编号、参选人名称等内容。</w:t>
      </w:r>
    </w:p>
    <w:p>
      <w:pPr>
        <w:pStyle w:val="46"/>
        <w:snapToGrid w:val="0"/>
        <w:spacing w:line="360" w:lineRule="auto"/>
        <w:rPr>
          <w:rFonts w:hAnsi="宋体" w:cs="宋体"/>
          <w:bCs/>
          <w:color w:val="auto"/>
          <w:kern w:val="2"/>
          <w:sz w:val="24"/>
          <w:szCs w:val="24"/>
          <w:highlight w:val="none"/>
        </w:rPr>
      </w:pPr>
      <w:r>
        <w:rPr>
          <w:rFonts w:hint="eastAsia" w:hAnsi="宋体" w:cs="宋体"/>
          <w:bCs/>
          <w:color w:val="auto"/>
          <w:kern w:val="2"/>
          <w:sz w:val="24"/>
          <w:szCs w:val="24"/>
          <w:highlight w:val="none"/>
        </w:rPr>
        <w:t>18.2 参选人应将参选文件（正本一份，副本贰份）装入文件袋中，且在文件袋上正面标明注明参选单位名称、比选公告或比选邀请书中指明的项目名称、项目编号和“在此项目开标截止时间之前不得启封”的字样， 参选文件袋要加以密封，要在文件袋加盖签章（公章、法定代表人或其委托代理人签字均可）。</w:t>
      </w:r>
    </w:p>
    <w:p>
      <w:pPr>
        <w:pStyle w:val="46"/>
        <w:snapToGrid w:val="0"/>
        <w:spacing w:line="360" w:lineRule="auto"/>
        <w:rPr>
          <w:rFonts w:hAnsi="宋体" w:cs="宋体"/>
          <w:bCs/>
          <w:color w:val="auto"/>
          <w:kern w:val="2"/>
          <w:sz w:val="24"/>
          <w:szCs w:val="24"/>
          <w:highlight w:val="none"/>
        </w:rPr>
      </w:pPr>
      <w:r>
        <w:rPr>
          <w:rFonts w:hint="eastAsia" w:hAnsi="宋体" w:cs="宋体"/>
          <w:bCs/>
          <w:color w:val="auto"/>
          <w:kern w:val="2"/>
          <w:sz w:val="24"/>
          <w:szCs w:val="24"/>
          <w:highlight w:val="none"/>
        </w:rPr>
        <w:t>18.3 纸质参选文件的正本需打印或用不退色墨水书写，否则其投标无效。参选文件的副本可采用正本的复印件，并在封面和骑缝处加盖公章。</w:t>
      </w:r>
    </w:p>
    <w:p>
      <w:pPr>
        <w:pStyle w:val="46"/>
        <w:snapToGrid w:val="0"/>
        <w:spacing w:line="360" w:lineRule="auto"/>
        <w:rPr>
          <w:rFonts w:hAnsi="宋体" w:cs="宋体"/>
          <w:bCs/>
          <w:color w:val="auto"/>
          <w:kern w:val="2"/>
          <w:sz w:val="24"/>
          <w:szCs w:val="24"/>
          <w:highlight w:val="none"/>
        </w:rPr>
      </w:pPr>
      <w:r>
        <w:rPr>
          <w:rFonts w:hint="eastAsia" w:hAnsi="宋体" w:cs="宋体"/>
          <w:bCs/>
          <w:color w:val="auto"/>
          <w:kern w:val="2"/>
          <w:sz w:val="24"/>
          <w:szCs w:val="24"/>
          <w:highlight w:val="none"/>
        </w:rPr>
        <w:t>18.4 任何行间插字、涂改和增删处应由法定代表人或委托代理人签字和加盖公章，否则其投标无效。字迹潦草、表达不清、未按要求填写或可能导致非唯一理解的参选文件可能被认定为无效的投标。</w:t>
      </w:r>
    </w:p>
    <w:p>
      <w:pPr>
        <w:snapToGrid w:val="0"/>
        <w:spacing w:line="360" w:lineRule="auto"/>
        <w:outlineLvl w:val="1"/>
        <w:rPr>
          <w:rFonts w:ascii="宋体" w:hAnsi="宋体"/>
          <w:b/>
          <w:bCs/>
          <w:color w:val="auto"/>
          <w:sz w:val="24"/>
          <w:highlight w:val="none"/>
        </w:rPr>
      </w:pPr>
      <w:bookmarkStart w:id="27" w:name="_Toc202172764"/>
      <w:r>
        <w:rPr>
          <w:rFonts w:hint="eastAsia" w:ascii="宋体" w:hAnsi="宋体"/>
          <w:b/>
          <w:bCs/>
          <w:color w:val="auto"/>
          <w:sz w:val="24"/>
          <w:highlight w:val="none"/>
        </w:rPr>
        <w:t>19. 参选截止时间</w:t>
      </w:r>
      <w:bookmarkEnd w:id="27"/>
    </w:p>
    <w:p>
      <w:pPr>
        <w:snapToGrid w:val="0"/>
        <w:spacing w:line="360" w:lineRule="auto"/>
        <w:rPr>
          <w:rFonts w:ascii="宋体" w:hAnsi="宋体"/>
          <w:color w:val="auto"/>
          <w:sz w:val="24"/>
          <w:highlight w:val="none"/>
        </w:rPr>
      </w:pPr>
      <w:r>
        <w:rPr>
          <w:rFonts w:hint="eastAsia" w:ascii="宋体" w:hAnsi="宋体"/>
          <w:color w:val="auto"/>
          <w:sz w:val="24"/>
          <w:highlight w:val="none"/>
        </w:rPr>
        <w:t>19</w:t>
      </w:r>
      <w:r>
        <w:rPr>
          <w:rFonts w:ascii="宋体" w:hAnsi="宋体"/>
          <w:color w:val="auto"/>
          <w:sz w:val="24"/>
          <w:highlight w:val="none"/>
        </w:rPr>
        <w:t xml:space="preserve">.1 </w:t>
      </w:r>
      <w:r>
        <w:rPr>
          <w:rFonts w:hint="eastAsia" w:ascii="宋体" w:hAnsi="宋体"/>
          <w:color w:val="auto"/>
          <w:sz w:val="24"/>
          <w:highlight w:val="none"/>
        </w:rPr>
        <w:t>参选文件（含原件）必须在比选公告规定的递交参选文件截止时间前送达指定的比选地点。</w:t>
      </w:r>
    </w:p>
    <w:p>
      <w:pPr>
        <w:snapToGrid w:val="0"/>
        <w:spacing w:line="360" w:lineRule="auto"/>
        <w:rPr>
          <w:rFonts w:ascii="宋体" w:hAnsi="宋体"/>
          <w:color w:val="auto"/>
          <w:sz w:val="24"/>
          <w:highlight w:val="none"/>
        </w:rPr>
      </w:pPr>
      <w:r>
        <w:rPr>
          <w:rFonts w:hint="eastAsia" w:ascii="宋体" w:hAnsi="宋体"/>
          <w:color w:val="auto"/>
          <w:sz w:val="24"/>
          <w:highlight w:val="none"/>
        </w:rPr>
        <w:t>19</w:t>
      </w:r>
      <w:r>
        <w:rPr>
          <w:rFonts w:ascii="宋体" w:hAnsi="宋体"/>
          <w:color w:val="auto"/>
          <w:sz w:val="24"/>
          <w:highlight w:val="none"/>
        </w:rPr>
        <w:t>.</w:t>
      </w:r>
      <w:r>
        <w:rPr>
          <w:rFonts w:hint="eastAsia" w:ascii="宋体" w:hAnsi="宋体"/>
          <w:color w:val="auto"/>
          <w:sz w:val="24"/>
          <w:highlight w:val="none"/>
        </w:rPr>
        <w:t>2 招标代理机构推迟参选递交参选文件截止时间的，应以书面形式通知所有参选人。在这种情况下，招标代理机构、比选人和参选人受递交参选文件截止时间制约的所有权利和义务均应延长至新的递交参选文件截止时间。</w:t>
      </w:r>
    </w:p>
    <w:p>
      <w:pPr>
        <w:spacing w:line="360" w:lineRule="auto"/>
        <w:outlineLvl w:val="1"/>
        <w:rPr>
          <w:rFonts w:ascii="宋体" w:hAnsi="宋体"/>
          <w:b/>
          <w:bCs/>
          <w:color w:val="auto"/>
          <w:sz w:val="24"/>
          <w:highlight w:val="none"/>
        </w:rPr>
      </w:pPr>
      <w:bookmarkStart w:id="28" w:name="_Toc202172765"/>
      <w:r>
        <w:rPr>
          <w:rFonts w:hint="eastAsia" w:ascii="宋体" w:hAnsi="宋体"/>
          <w:b/>
          <w:bCs/>
          <w:color w:val="auto"/>
          <w:sz w:val="24"/>
          <w:highlight w:val="none"/>
        </w:rPr>
        <w:t>20. 迟交的参选文件</w:t>
      </w:r>
      <w:bookmarkEnd w:id="28"/>
    </w:p>
    <w:p>
      <w:pPr>
        <w:spacing w:line="360" w:lineRule="auto"/>
        <w:rPr>
          <w:rFonts w:ascii="宋体" w:hAnsi="宋体"/>
          <w:color w:val="auto"/>
          <w:sz w:val="24"/>
          <w:highlight w:val="none"/>
        </w:rPr>
      </w:pPr>
      <w:r>
        <w:rPr>
          <w:rFonts w:hint="eastAsia" w:ascii="宋体" w:hAnsi="宋体"/>
          <w:color w:val="auto"/>
          <w:sz w:val="24"/>
          <w:highlight w:val="none"/>
        </w:rPr>
        <w:t>20</w:t>
      </w:r>
      <w:r>
        <w:rPr>
          <w:rFonts w:ascii="宋体" w:hAnsi="宋体"/>
          <w:color w:val="auto"/>
          <w:sz w:val="24"/>
          <w:highlight w:val="none"/>
        </w:rPr>
        <w:t>.</w:t>
      </w:r>
      <w:r>
        <w:rPr>
          <w:rFonts w:hint="eastAsia" w:ascii="宋体" w:hAnsi="宋体"/>
          <w:color w:val="auto"/>
          <w:sz w:val="24"/>
          <w:highlight w:val="none"/>
        </w:rPr>
        <w:t>1参选文件未按比选文件要求签署、密封及标记的，以及在递交参选文件截止时间以后送达的参选文件（含原件），招标代理机构有权拒收。</w:t>
      </w:r>
    </w:p>
    <w:p>
      <w:pPr>
        <w:spacing w:line="360" w:lineRule="auto"/>
        <w:outlineLvl w:val="1"/>
        <w:rPr>
          <w:rFonts w:ascii="宋体" w:hAnsi="宋体"/>
          <w:b/>
          <w:bCs/>
          <w:color w:val="auto"/>
          <w:sz w:val="24"/>
          <w:highlight w:val="none"/>
        </w:rPr>
      </w:pPr>
      <w:bookmarkStart w:id="29" w:name="_Toc202172766"/>
      <w:r>
        <w:rPr>
          <w:rFonts w:hint="eastAsia" w:ascii="宋体" w:hAnsi="宋体"/>
          <w:b/>
          <w:bCs/>
          <w:color w:val="auto"/>
          <w:sz w:val="24"/>
          <w:highlight w:val="none"/>
        </w:rPr>
        <w:t>21. 参选文件的修改和撤回</w:t>
      </w:r>
      <w:bookmarkEnd w:id="29"/>
    </w:p>
    <w:p>
      <w:pPr>
        <w:spacing w:line="360" w:lineRule="auto"/>
        <w:rPr>
          <w:rFonts w:ascii="宋体" w:hAnsi="宋体"/>
          <w:color w:val="auto"/>
          <w:sz w:val="24"/>
          <w:highlight w:val="none"/>
        </w:rPr>
      </w:pPr>
      <w:r>
        <w:rPr>
          <w:rFonts w:hint="eastAsia" w:ascii="宋体" w:hAnsi="宋体"/>
          <w:color w:val="auto"/>
          <w:sz w:val="24"/>
          <w:highlight w:val="none"/>
        </w:rPr>
        <w:t>21</w:t>
      </w:r>
      <w:r>
        <w:rPr>
          <w:rFonts w:ascii="宋体" w:hAnsi="宋体"/>
          <w:color w:val="auto"/>
          <w:sz w:val="24"/>
          <w:highlight w:val="none"/>
        </w:rPr>
        <w:t>.1</w:t>
      </w:r>
      <w:r>
        <w:rPr>
          <w:rFonts w:hint="eastAsia" w:ascii="宋体" w:hAnsi="宋体"/>
          <w:color w:val="auto"/>
          <w:sz w:val="24"/>
          <w:highlight w:val="none"/>
        </w:rPr>
        <w:t xml:space="preserve"> 在递交参选文件截止时间前，参选人可以书面形式提出修改或撤回其参选文件。</w:t>
      </w:r>
    </w:p>
    <w:p>
      <w:pPr>
        <w:spacing w:line="360" w:lineRule="auto"/>
        <w:rPr>
          <w:rFonts w:ascii="宋体" w:hAnsi="宋体"/>
          <w:color w:val="auto"/>
          <w:sz w:val="24"/>
          <w:highlight w:val="none"/>
        </w:rPr>
      </w:pPr>
      <w:r>
        <w:rPr>
          <w:rFonts w:hint="eastAsia" w:ascii="宋体" w:hAnsi="宋体"/>
          <w:color w:val="auto"/>
          <w:sz w:val="24"/>
          <w:highlight w:val="none"/>
        </w:rPr>
        <w:t>21</w:t>
      </w:r>
      <w:r>
        <w:rPr>
          <w:rFonts w:ascii="宋体" w:hAnsi="宋体"/>
          <w:color w:val="auto"/>
          <w:sz w:val="24"/>
          <w:highlight w:val="none"/>
        </w:rPr>
        <w:t xml:space="preserve">.2 </w:t>
      </w:r>
      <w:r>
        <w:rPr>
          <w:rFonts w:hint="eastAsia" w:ascii="宋体" w:hAnsi="宋体"/>
          <w:color w:val="auto"/>
          <w:sz w:val="24"/>
          <w:highlight w:val="none"/>
        </w:rPr>
        <w:t>参选人修改或撤回参选文件的书面材料，须密封送达比选人，同时应在封皮上标明“参选文件修改”或“参选文件撤回通知”字样。</w:t>
      </w:r>
    </w:p>
    <w:p>
      <w:pPr>
        <w:spacing w:line="360" w:lineRule="auto"/>
        <w:rPr>
          <w:rFonts w:ascii="宋体" w:hAnsi="宋体"/>
          <w:color w:val="auto"/>
          <w:sz w:val="24"/>
          <w:highlight w:val="none"/>
        </w:rPr>
      </w:pPr>
      <w:r>
        <w:rPr>
          <w:rFonts w:hint="eastAsia" w:ascii="宋体" w:hAnsi="宋体"/>
          <w:color w:val="auto"/>
          <w:sz w:val="24"/>
          <w:highlight w:val="none"/>
        </w:rPr>
        <w:t>21</w:t>
      </w:r>
      <w:r>
        <w:rPr>
          <w:rFonts w:ascii="宋体" w:hAnsi="宋体"/>
          <w:color w:val="auto"/>
          <w:sz w:val="24"/>
          <w:highlight w:val="none"/>
        </w:rPr>
        <w:t>.</w:t>
      </w:r>
      <w:r>
        <w:rPr>
          <w:rFonts w:hint="eastAsia" w:ascii="宋体" w:hAnsi="宋体"/>
          <w:color w:val="auto"/>
          <w:sz w:val="24"/>
          <w:highlight w:val="none"/>
        </w:rPr>
        <w:t>3从递交参选文件截止时间至参选有效期期满这段时间内，参选人不得撤回其参选文件。</w:t>
      </w:r>
    </w:p>
    <w:p>
      <w:pPr>
        <w:pStyle w:val="46"/>
        <w:rPr>
          <w:rFonts w:hAnsi="宋体"/>
          <w:color w:val="auto"/>
          <w:sz w:val="24"/>
          <w:highlight w:val="none"/>
        </w:rPr>
      </w:pPr>
    </w:p>
    <w:p>
      <w:pPr>
        <w:spacing w:line="360" w:lineRule="auto"/>
        <w:jc w:val="center"/>
        <w:rPr>
          <w:rFonts w:ascii="宋体" w:hAnsi="宋体"/>
          <w:b/>
          <w:bCs/>
          <w:color w:val="auto"/>
          <w:sz w:val="24"/>
          <w:highlight w:val="none"/>
        </w:rPr>
      </w:pPr>
      <w:bookmarkStart w:id="30" w:name="_Toc202172767"/>
      <w:r>
        <w:rPr>
          <w:rFonts w:hint="eastAsia" w:ascii="宋体" w:hAnsi="宋体"/>
          <w:b/>
          <w:bCs/>
          <w:color w:val="auto"/>
          <w:sz w:val="24"/>
          <w:highlight w:val="none"/>
        </w:rPr>
        <w:t>五、比选及</w:t>
      </w:r>
      <w:bookmarkEnd w:id="30"/>
      <w:r>
        <w:rPr>
          <w:rFonts w:hint="eastAsia" w:ascii="宋体" w:hAnsi="宋体"/>
          <w:b/>
          <w:bCs/>
          <w:color w:val="auto"/>
          <w:sz w:val="24"/>
          <w:highlight w:val="none"/>
        </w:rPr>
        <w:t>评审</w:t>
      </w:r>
    </w:p>
    <w:p>
      <w:pPr>
        <w:spacing w:line="360" w:lineRule="auto"/>
        <w:outlineLvl w:val="1"/>
        <w:rPr>
          <w:rFonts w:ascii="宋体" w:hAnsi="宋体"/>
          <w:b/>
          <w:bCs/>
          <w:color w:val="auto"/>
          <w:sz w:val="24"/>
          <w:highlight w:val="none"/>
        </w:rPr>
      </w:pPr>
      <w:r>
        <w:rPr>
          <w:rFonts w:hint="eastAsia" w:ascii="宋体" w:hAnsi="宋体"/>
          <w:b/>
          <w:bCs/>
          <w:color w:val="auto"/>
          <w:sz w:val="24"/>
          <w:highlight w:val="none"/>
        </w:rPr>
        <w:t>22. 比选要求及程序</w:t>
      </w:r>
    </w:p>
    <w:p>
      <w:pPr>
        <w:spacing w:line="360" w:lineRule="auto"/>
        <w:rPr>
          <w:rFonts w:ascii="宋体" w:hAnsi="宋体"/>
          <w:color w:val="auto"/>
          <w:sz w:val="24"/>
          <w:highlight w:val="none"/>
        </w:rPr>
      </w:pPr>
      <w:r>
        <w:rPr>
          <w:rFonts w:hint="eastAsia" w:ascii="宋体" w:hAnsi="宋体"/>
          <w:color w:val="auto"/>
          <w:sz w:val="24"/>
          <w:highlight w:val="none"/>
        </w:rPr>
        <w:t>22</w:t>
      </w:r>
      <w:r>
        <w:rPr>
          <w:rFonts w:ascii="宋体" w:hAnsi="宋体"/>
          <w:color w:val="auto"/>
          <w:sz w:val="24"/>
          <w:highlight w:val="none"/>
        </w:rPr>
        <w:t>.1</w:t>
      </w:r>
      <w:r>
        <w:rPr>
          <w:rFonts w:hint="eastAsia" w:ascii="宋体" w:hAnsi="宋体"/>
          <w:color w:val="auto"/>
          <w:sz w:val="24"/>
          <w:highlight w:val="none"/>
        </w:rPr>
        <w:t>招标代理机构在比选公告中规定的时间、地点主持公开比选活动。</w:t>
      </w:r>
    </w:p>
    <w:p>
      <w:pPr>
        <w:spacing w:line="360" w:lineRule="auto"/>
        <w:rPr>
          <w:rFonts w:ascii="宋体" w:hAnsi="宋体"/>
          <w:color w:val="auto"/>
          <w:sz w:val="24"/>
          <w:highlight w:val="none"/>
        </w:rPr>
      </w:pPr>
      <w:r>
        <w:rPr>
          <w:rFonts w:hint="eastAsia" w:ascii="宋体" w:hAnsi="宋体"/>
          <w:color w:val="auto"/>
          <w:sz w:val="24"/>
          <w:highlight w:val="none"/>
        </w:rPr>
        <w:t>22</w:t>
      </w:r>
      <w:r>
        <w:rPr>
          <w:rFonts w:ascii="宋体" w:hAnsi="宋体"/>
          <w:color w:val="auto"/>
          <w:sz w:val="24"/>
          <w:highlight w:val="none"/>
        </w:rPr>
        <w:t>.</w:t>
      </w:r>
      <w:r>
        <w:rPr>
          <w:rFonts w:hint="eastAsia" w:ascii="宋体" w:hAnsi="宋体"/>
          <w:color w:val="auto"/>
          <w:sz w:val="24"/>
          <w:highlight w:val="none"/>
        </w:rPr>
        <w:t>2 比选时，招标代理机构将宣读参选人名称、参选报价内容。招标代理机构将做比选记录，只有比选时唱出的参选声明，在评审时才予以考虑。</w:t>
      </w:r>
    </w:p>
    <w:p>
      <w:pPr>
        <w:spacing w:line="360" w:lineRule="auto"/>
        <w:rPr>
          <w:rFonts w:ascii="宋体" w:hAnsi="宋体"/>
          <w:color w:val="auto"/>
          <w:sz w:val="24"/>
          <w:highlight w:val="none"/>
        </w:rPr>
      </w:pPr>
      <w:r>
        <w:rPr>
          <w:rFonts w:hint="eastAsia" w:ascii="宋体" w:hAnsi="宋体"/>
          <w:color w:val="auto"/>
          <w:sz w:val="24"/>
          <w:highlight w:val="none"/>
        </w:rPr>
        <w:t>22.3比选程序详见“第三章 评审办法”。</w:t>
      </w:r>
    </w:p>
    <w:p>
      <w:pPr>
        <w:spacing w:line="360" w:lineRule="auto"/>
        <w:ind w:left="-13"/>
        <w:outlineLvl w:val="1"/>
        <w:rPr>
          <w:b/>
          <w:bCs/>
          <w:color w:val="auto"/>
          <w:sz w:val="24"/>
          <w:highlight w:val="none"/>
        </w:rPr>
      </w:pPr>
      <w:bookmarkStart w:id="31" w:name="_Toc202172769"/>
      <w:r>
        <w:rPr>
          <w:rFonts w:hint="eastAsia"/>
          <w:b/>
          <w:bCs/>
          <w:color w:val="auto"/>
          <w:sz w:val="24"/>
          <w:highlight w:val="none"/>
        </w:rPr>
        <w:t>23. 参选的澄清</w:t>
      </w:r>
    </w:p>
    <w:p>
      <w:pPr>
        <w:spacing w:line="360" w:lineRule="auto"/>
        <w:rPr>
          <w:color w:val="auto"/>
          <w:sz w:val="24"/>
          <w:highlight w:val="none"/>
        </w:rPr>
      </w:pPr>
      <w:r>
        <w:rPr>
          <w:color w:val="auto"/>
          <w:sz w:val="24"/>
          <w:highlight w:val="none"/>
        </w:rPr>
        <w:t>2</w:t>
      </w:r>
      <w:r>
        <w:rPr>
          <w:rFonts w:hint="eastAsia"/>
          <w:color w:val="auto"/>
          <w:sz w:val="24"/>
          <w:highlight w:val="none"/>
        </w:rPr>
        <w:t>3</w:t>
      </w:r>
      <w:r>
        <w:rPr>
          <w:color w:val="auto"/>
          <w:sz w:val="24"/>
          <w:highlight w:val="none"/>
        </w:rPr>
        <w:t>.</w:t>
      </w:r>
      <w:r>
        <w:rPr>
          <w:rFonts w:hint="eastAsia"/>
          <w:color w:val="auto"/>
          <w:sz w:val="24"/>
          <w:highlight w:val="none"/>
        </w:rPr>
        <w:t>1　在评审期间，可要求参选人对其参选文件进行澄清，但澄清不得对参选价格等实质内容做任何修改。有关澄清的要求和答复均应以书面形式提交。</w:t>
      </w:r>
    </w:p>
    <w:p>
      <w:pPr>
        <w:spacing w:line="360" w:lineRule="auto"/>
        <w:ind w:left="-4" w:leftChars="-2" w:firstLine="2" w:firstLineChars="1"/>
        <w:outlineLvl w:val="1"/>
        <w:rPr>
          <w:b/>
          <w:bCs/>
          <w:color w:val="auto"/>
          <w:sz w:val="24"/>
          <w:highlight w:val="none"/>
        </w:rPr>
      </w:pPr>
      <w:r>
        <w:rPr>
          <w:rFonts w:hint="eastAsia"/>
          <w:b/>
          <w:bCs/>
          <w:color w:val="auto"/>
          <w:sz w:val="24"/>
          <w:highlight w:val="none"/>
        </w:rPr>
        <w:t>24. 参选的评价</w:t>
      </w:r>
    </w:p>
    <w:p>
      <w:pPr>
        <w:spacing w:line="360" w:lineRule="auto"/>
        <w:ind w:left="629" w:hanging="628" w:hangingChars="262"/>
        <w:rPr>
          <w:color w:val="auto"/>
          <w:sz w:val="24"/>
          <w:highlight w:val="none"/>
        </w:rPr>
      </w:pPr>
      <w:r>
        <w:rPr>
          <w:color w:val="auto"/>
          <w:sz w:val="24"/>
          <w:highlight w:val="none"/>
        </w:rPr>
        <w:t>2</w:t>
      </w:r>
      <w:r>
        <w:rPr>
          <w:rFonts w:hint="eastAsia"/>
          <w:color w:val="auto"/>
          <w:sz w:val="24"/>
          <w:highlight w:val="none"/>
        </w:rPr>
        <w:t>4</w:t>
      </w:r>
      <w:r>
        <w:rPr>
          <w:color w:val="auto"/>
          <w:sz w:val="24"/>
          <w:highlight w:val="none"/>
        </w:rPr>
        <w:t>.1</w:t>
      </w:r>
      <w:r>
        <w:rPr>
          <w:rFonts w:hint="eastAsia"/>
          <w:color w:val="auto"/>
          <w:sz w:val="24"/>
          <w:highlight w:val="none"/>
        </w:rPr>
        <w:t>　评审小组将按照</w:t>
      </w:r>
      <w:r>
        <w:rPr>
          <w:rFonts w:hint="eastAsia" w:ascii="宋体" w:hAnsi="宋体"/>
          <w:color w:val="auto"/>
          <w:sz w:val="24"/>
          <w:highlight w:val="none"/>
        </w:rPr>
        <w:t>“第三章 评审办法”</w:t>
      </w:r>
      <w:r>
        <w:rPr>
          <w:rFonts w:hint="eastAsia"/>
          <w:color w:val="auto"/>
          <w:sz w:val="24"/>
          <w:highlight w:val="none"/>
        </w:rPr>
        <w:t>的规定，对参选文件进行评价和比较。</w:t>
      </w:r>
    </w:p>
    <w:p>
      <w:pPr>
        <w:spacing w:line="360" w:lineRule="auto"/>
        <w:rPr>
          <w:color w:val="auto"/>
          <w:sz w:val="24"/>
          <w:highlight w:val="none"/>
        </w:rPr>
      </w:pPr>
      <w:r>
        <w:rPr>
          <w:rFonts w:hint="eastAsia"/>
          <w:color w:val="auto"/>
          <w:sz w:val="24"/>
          <w:highlight w:val="none"/>
        </w:rPr>
        <w:t>24</w:t>
      </w:r>
      <w:r>
        <w:rPr>
          <w:color w:val="auto"/>
          <w:sz w:val="24"/>
          <w:highlight w:val="none"/>
        </w:rPr>
        <w:t>.</w:t>
      </w:r>
      <w:r>
        <w:rPr>
          <w:rFonts w:hint="eastAsia"/>
          <w:color w:val="auto"/>
          <w:sz w:val="24"/>
          <w:highlight w:val="none"/>
        </w:rPr>
        <w:t>2　依据相关规定组建的比选小组在评审时，除根据第15条款的规定考虑参选人的参选报价之外，还要考虑以下因素：</w:t>
      </w:r>
    </w:p>
    <w:p>
      <w:pPr>
        <w:spacing w:line="360" w:lineRule="auto"/>
        <w:ind w:left="311" w:hanging="629"/>
        <w:rPr>
          <w:color w:val="auto"/>
          <w:sz w:val="24"/>
          <w:highlight w:val="none"/>
        </w:rPr>
      </w:pPr>
      <w:r>
        <w:rPr>
          <w:rFonts w:hint="eastAsia"/>
          <w:color w:val="auto"/>
          <w:sz w:val="24"/>
          <w:highlight w:val="none"/>
        </w:rPr>
        <w:t>　　　　1）参选文件中申报的付款方式和条件的偏差；</w:t>
      </w:r>
    </w:p>
    <w:p>
      <w:pPr>
        <w:spacing w:line="360" w:lineRule="auto"/>
        <w:ind w:left="315" w:hanging="633"/>
        <w:rPr>
          <w:color w:val="auto"/>
          <w:sz w:val="24"/>
          <w:highlight w:val="none"/>
        </w:rPr>
      </w:pPr>
      <w:r>
        <w:rPr>
          <w:rFonts w:hint="eastAsia"/>
          <w:color w:val="auto"/>
          <w:sz w:val="24"/>
          <w:highlight w:val="none"/>
        </w:rPr>
        <w:t>　　　　2）工程、货物、服务的水平和能力；</w:t>
      </w:r>
    </w:p>
    <w:p>
      <w:pPr>
        <w:spacing w:line="360" w:lineRule="auto"/>
        <w:ind w:left="311" w:hanging="629"/>
        <w:rPr>
          <w:color w:val="auto"/>
          <w:sz w:val="24"/>
          <w:highlight w:val="none"/>
        </w:rPr>
      </w:pPr>
      <w:r>
        <w:rPr>
          <w:rFonts w:hint="eastAsia"/>
          <w:color w:val="auto"/>
          <w:sz w:val="24"/>
          <w:highlight w:val="none"/>
        </w:rPr>
        <w:t>　　　　3）工程、货物、服务的质量及适用性。</w:t>
      </w:r>
    </w:p>
    <w:p>
      <w:pPr>
        <w:spacing w:line="360" w:lineRule="auto"/>
        <w:outlineLvl w:val="1"/>
        <w:rPr>
          <w:rFonts w:ascii="宋体" w:hAnsi="宋体"/>
          <w:b/>
          <w:bCs/>
          <w:color w:val="auto"/>
          <w:sz w:val="24"/>
          <w:highlight w:val="none"/>
        </w:rPr>
      </w:pPr>
      <w:r>
        <w:rPr>
          <w:rFonts w:ascii="宋体" w:hAnsi="宋体"/>
          <w:b/>
          <w:bCs/>
          <w:color w:val="auto"/>
          <w:sz w:val="24"/>
          <w:highlight w:val="none"/>
        </w:rPr>
        <w:t>2</w:t>
      </w:r>
      <w:r>
        <w:rPr>
          <w:rFonts w:hint="eastAsia" w:ascii="宋体" w:hAnsi="宋体"/>
          <w:b/>
          <w:bCs/>
          <w:color w:val="auto"/>
          <w:sz w:val="24"/>
          <w:highlight w:val="none"/>
        </w:rPr>
        <w:t>5</w:t>
      </w:r>
      <w:r>
        <w:rPr>
          <w:rFonts w:ascii="宋体" w:hAnsi="宋体"/>
          <w:b/>
          <w:bCs/>
          <w:color w:val="auto"/>
          <w:sz w:val="24"/>
          <w:highlight w:val="none"/>
        </w:rPr>
        <w:t>.</w:t>
      </w:r>
      <w:r>
        <w:rPr>
          <w:rFonts w:hint="eastAsia" w:ascii="宋体" w:hAnsi="宋体"/>
          <w:b/>
          <w:bCs/>
          <w:color w:val="auto"/>
          <w:sz w:val="24"/>
          <w:highlight w:val="none"/>
        </w:rPr>
        <w:t xml:space="preserve"> 比选小组和评审方法</w:t>
      </w:r>
      <w:bookmarkEnd w:id="31"/>
    </w:p>
    <w:p>
      <w:pPr>
        <w:spacing w:line="360" w:lineRule="auto"/>
        <w:rPr>
          <w:rFonts w:ascii="宋体" w:hAnsi="宋体"/>
          <w:color w:val="auto"/>
          <w:sz w:val="24"/>
          <w:highlight w:val="none"/>
        </w:rPr>
      </w:pPr>
      <w:r>
        <w:rPr>
          <w:rFonts w:hint="eastAsia" w:ascii="宋体" w:hAnsi="宋体"/>
          <w:color w:val="auto"/>
          <w:sz w:val="24"/>
          <w:highlight w:val="none"/>
        </w:rPr>
        <w:t>25</w:t>
      </w:r>
      <w:r>
        <w:rPr>
          <w:rFonts w:ascii="宋体" w:hAnsi="宋体"/>
          <w:color w:val="auto"/>
          <w:sz w:val="24"/>
          <w:highlight w:val="none"/>
        </w:rPr>
        <w:t>.</w:t>
      </w:r>
      <w:r>
        <w:rPr>
          <w:rFonts w:hint="eastAsia" w:ascii="宋体" w:hAnsi="宋体"/>
          <w:color w:val="auto"/>
          <w:sz w:val="24"/>
          <w:highlight w:val="none"/>
        </w:rPr>
        <w:t>1评审由依照有关规定组建的比选小组负责。</w:t>
      </w:r>
    </w:p>
    <w:p>
      <w:pPr>
        <w:spacing w:line="360" w:lineRule="auto"/>
        <w:rPr>
          <w:rFonts w:ascii="宋体" w:hAnsi="宋体"/>
          <w:color w:val="auto"/>
          <w:sz w:val="24"/>
          <w:highlight w:val="none"/>
        </w:rPr>
      </w:pPr>
      <w:r>
        <w:rPr>
          <w:rFonts w:hint="eastAsia" w:ascii="宋体" w:hAnsi="宋体"/>
          <w:color w:val="auto"/>
          <w:sz w:val="24"/>
          <w:highlight w:val="none"/>
        </w:rPr>
        <w:t>25.2评审方法详见“第三章 评审办法”。</w:t>
      </w:r>
    </w:p>
    <w:p>
      <w:pPr>
        <w:spacing w:line="360" w:lineRule="auto"/>
        <w:rPr>
          <w:rFonts w:ascii="宋体" w:hAnsi="宋体"/>
          <w:color w:val="auto"/>
          <w:sz w:val="24"/>
          <w:highlight w:val="none"/>
        </w:rPr>
      </w:pPr>
      <w:r>
        <w:rPr>
          <w:rFonts w:hint="eastAsia" w:ascii="宋体" w:hAnsi="宋体"/>
          <w:color w:val="auto"/>
          <w:sz w:val="24"/>
          <w:highlight w:val="none"/>
        </w:rPr>
        <w:t>25.3参选人所有申报材料须完整和如实填写，弄虚作假一经发现，将取消其参选资格，并报有关部门严肃处理。</w:t>
      </w:r>
    </w:p>
    <w:p>
      <w:pPr>
        <w:spacing w:line="360" w:lineRule="auto"/>
        <w:outlineLvl w:val="1"/>
        <w:rPr>
          <w:rFonts w:ascii="宋体" w:hAnsi="宋体"/>
          <w:b/>
          <w:bCs/>
          <w:color w:val="auto"/>
          <w:sz w:val="24"/>
          <w:highlight w:val="none"/>
        </w:rPr>
      </w:pPr>
      <w:bookmarkStart w:id="32" w:name="_Toc202172773"/>
      <w:r>
        <w:rPr>
          <w:rFonts w:hint="eastAsia" w:ascii="宋体" w:hAnsi="宋体"/>
          <w:b/>
          <w:bCs/>
          <w:color w:val="auto"/>
          <w:sz w:val="24"/>
          <w:highlight w:val="none"/>
        </w:rPr>
        <w:t>26. 与招标代理机构和比选人的接触</w:t>
      </w:r>
      <w:bookmarkEnd w:id="32"/>
    </w:p>
    <w:p>
      <w:pPr>
        <w:spacing w:line="360" w:lineRule="auto"/>
        <w:rPr>
          <w:rFonts w:ascii="宋体" w:hAnsi="宋体"/>
          <w:color w:val="auto"/>
          <w:sz w:val="24"/>
          <w:highlight w:val="none"/>
        </w:rPr>
      </w:pPr>
      <w:r>
        <w:rPr>
          <w:rFonts w:hint="eastAsia" w:ascii="宋体" w:hAnsi="宋体"/>
          <w:color w:val="auto"/>
          <w:sz w:val="24"/>
          <w:highlight w:val="none"/>
        </w:rPr>
        <w:t>26</w:t>
      </w:r>
      <w:r>
        <w:rPr>
          <w:rFonts w:ascii="宋体" w:hAnsi="宋体"/>
          <w:color w:val="auto"/>
          <w:sz w:val="24"/>
          <w:highlight w:val="none"/>
        </w:rPr>
        <w:t xml:space="preserve">.1 </w:t>
      </w:r>
      <w:r>
        <w:rPr>
          <w:rFonts w:hint="eastAsia" w:ascii="宋体" w:hAnsi="宋体"/>
          <w:color w:val="auto"/>
          <w:sz w:val="24"/>
          <w:highlight w:val="none"/>
        </w:rPr>
        <w:t>除按本须知规定的外，从递交参选文件截止时间起至授予合同期间，参选人不得就其参选有关的事项与招标代理机构、比选人、比选小组接触。</w:t>
      </w:r>
    </w:p>
    <w:p>
      <w:pPr>
        <w:spacing w:line="360" w:lineRule="auto"/>
        <w:rPr>
          <w:rFonts w:ascii="宋体" w:hAnsi="宋体"/>
          <w:color w:val="auto"/>
          <w:sz w:val="24"/>
          <w:highlight w:val="none"/>
        </w:rPr>
      </w:pPr>
      <w:r>
        <w:rPr>
          <w:rFonts w:hint="eastAsia" w:ascii="宋体" w:hAnsi="宋体"/>
          <w:color w:val="auto"/>
          <w:sz w:val="24"/>
          <w:highlight w:val="none"/>
        </w:rPr>
        <w:t>26</w:t>
      </w:r>
      <w:r>
        <w:rPr>
          <w:rFonts w:ascii="宋体" w:hAnsi="宋体"/>
          <w:color w:val="auto"/>
          <w:sz w:val="24"/>
          <w:highlight w:val="none"/>
        </w:rPr>
        <w:t xml:space="preserve">.2 </w:t>
      </w:r>
      <w:r>
        <w:rPr>
          <w:rFonts w:hint="eastAsia" w:ascii="宋体" w:hAnsi="宋体"/>
          <w:color w:val="auto"/>
          <w:sz w:val="24"/>
          <w:highlight w:val="none"/>
        </w:rPr>
        <w:t>参选人试图对比选小组的评审、评价、比较或授予合同的决定施加任何影响，都可能导致其参选无效。</w:t>
      </w:r>
    </w:p>
    <w:p>
      <w:pPr>
        <w:spacing w:line="360" w:lineRule="auto"/>
        <w:jc w:val="center"/>
        <w:rPr>
          <w:rFonts w:ascii="宋体" w:hAnsi="宋体"/>
          <w:b/>
          <w:bCs/>
          <w:color w:val="auto"/>
          <w:sz w:val="24"/>
          <w:highlight w:val="none"/>
        </w:rPr>
      </w:pPr>
      <w:bookmarkStart w:id="33" w:name="_Toc202172774"/>
      <w:r>
        <w:rPr>
          <w:rFonts w:hint="eastAsia" w:ascii="宋体" w:hAnsi="宋体"/>
          <w:b/>
          <w:bCs/>
          <w:color w:val="auto"/>
          <w:sz w:val="24"/>
          <w:highlight w:val="none"/>
        </w:rPr>
        <w:t>六、授予合同</w:t>
      </w:r>
      <w:bookmarkEnd w:id="33"/>
    </w:p>
    <w:p>
      <w:pPr>
        <w:spacing w:line="360" w:lineRule="auto"/>
        <w:outlineLvl w:val="1"/>
        <w:rPr>
          <w:rFonts w:ascii="宋体" w:hAnsi="宋体"/>
          <w:b/>
          <w:bCs/>
          <w:color w:val="auto"/>
          <w:sz w:val="24"/>
          <w:highlight w:val="none"/>
        </w:rPr>
      </w:pPr>
      <w:bookmarkStart w:id="34" w:name="_Toc202172777"/>
      <w:r>
        <w:rPr>
          <w:rFonts w:hint="eastAsia" w:ascii="宋体" w:hAnsi="宋体"/>
          <w:b/>
          <w:bCs/>
          <w:color w:val="auto"/>
          <w:sz w:val="24"/>
          <w:highlight w:val="none"/>
        </w:rPr>
        <w:t>27.中选候选人公示</w:t>
      </w:r>
    </w:p>
    <w:p>
      <w:pPr>
        <w:spacing w:line="360" w:lineRule="auto"/>
        <w:rPr>
          <w:rFonts w:ascii="宋体" w:hAnsi="宋体"/>
          <w:color w:val="auto"/>
          <w:sz w:val="24"/>
          <w:highlight w:val="none"/>
        </w:rPr>
      </w:pPr>
      <w:r>
        <w:rPr>
          <w:rFonts w:hint="eastAsia" w:ascii="宋体" w:hAnsi="宋体"/>
          <w:color w:val="auto"/>
          <w:sz w:val="24"/>
          <w:highlight w:val="none"/>
        </w:rPr>
        <w:t>27.1评审结束经比选人确认后，比选人将在南昌市红谷滩城市投资集团有限公司网站（网址：http://www.hgtct.com）公示中选候选人，公示期为1日。参选人对评审结果有异议的，应当在公示期间以书面形式（法定代表人或授权代理人签字并加盖单位公章）提出。</w:t>
      </w:r>
    </w:p>
    <w:p>
      <w:pPr>
        <w:spacing w:line="360" w:lineRule="auto"/>
        <w:rPr>
          <w:rFonts w:ascii="宋体" w:hAnsi="宋体"/>
          <w:color w:val="auto"/>
          <w:sz w:val="24"/>
          <w:highlight w:val="none"/>
        </w:rPr>
      </w:pPr>
      <w:r>
        <w:rPr>
          <w:rFonts w:hint="eastAsia" w:ascii="宋体" w:hAnsi="宋体"/>
          <w:color w:val="auto"/>
          <w:sz w:val="24"/>
          <w:highlight w:val="none"/>
        </w:rPr>
        <w:t>27.2如果中选候选人放弃中选、因不可抗力不能履行合同，或者被查实存在影响中选结果的违法行为等情形，比选人将取消其中选资格，并有权根据排名依次确定中选候选人。依次确定的中选候选人与比选人预期差距较大，或者对比选人明显不利的，比选人可以拒绝补充中选候选人。</w:t>
      </w:r>
    </w:p>
    <w:p>
      <w:pPr>
        <w:spacing w:line="360" w:lineRule="auto"/>
        <w:outlineLvl w:val="1"/>
        <w:rPr>
          <w:rFonts w:ascii="宋体" w:hAnsi="宋体"/>
          <w:b/>
          <w:bCs/>
          <w:color w:val="auto"/>
          <w:sz w:val="24"/>
          <w:highlight w:val="none"/>
        </w:rPr>
      </w:pPr>
      <w:r>
        <w:rPr>
          <w:rFonts w:hint="eastAsia" w:ascii="宋体" w:hAnsi="宋体"/>
          <w:b/>
          <w:bCs/>
          <w:color w:val="auto"/>
          <w:sz w:val="24"/>
          <w:highlight w:val="none"/>
        </w:rPr>
        <w:t>28．最终审查</w:t>
      </w:r>
    </w:p>
    <w:bookmarkEnd w:id="34"/>
    <w:p>
      <w:pPr>
        <w:spacing w:line="360" w:lineRule="auto"/>
        <w:rPr>
          <w:rFonts w:ascii="宋体" w:hAnsi="宋体"/>
          <w:color w:val="auto"/>
          <w:sz w:val="24"/>
          <w:highlight w:val="none"/>
        </w:rPr>
      </w:pPr>
      <w:r>
        <w:rPr>
          <w:rFonts w:hint="eastAsia" w:ascii="宋体" w:hAnsi="宋体"/>
          <w:color w:val="auto"/>
          <w:sz w:val="24"/>
          <w:highlight w:val="none"/>
        </w:rPr>
        <w:t>28.1 比选人有权对中选候选人进行现场考察和对比复核，如发现存在任何弄虚作假情形的，比选人有权取消其中选资格。</w:t>
      </w:r>
    </w:p>
    <w:p>
      <w:pPr>
        <w:spacing w:line="360" w:lineRule="auto"/>
        <w:rPr>
          <w:rFonts w:ascii="宋体" w:hAnsi="宋体"/>
          <w:color w:val="auto"/>
          <w:sz w:val="24"/>
          <w:highlight w:val="none"/>
        </w:rPr>
      </w:pPr>
      <w:r>
        <w:rPr>
          <w:rFonts w:hint="eastAsia" w:ascii="宋体" w:hAnsi="宋体"/>
          <w:color w:val="auto"/>
          <w:sz w:val="24"/>
          <w:highlight w:val="none"/>
        </w:rPr>
        <w:t>28.2 最终审查工作如需参选人配合，参选人必须无条件配合。否则，比选人有权取消其中选资格。</w:t>
      </w:r>
    </w:p>
    <w:p>
      <w:pPr>
        <w:spacing w:line="360" w:lineRule="auto"/>
        <w:rPr>
          <w:rFonts w:ascii="宋体" w:hAnsi="宋体"/>
          <w:color w:val="auto"/>
          <w:sz w:val="24"/>
          <w:highlight w:val="none"/>
        </w:rPr>
      </w:pPr>
      <w:r>
        <w:rPr>
          <w:rFonts w:hint="eastAsia" w:ascii="宋体" w:hAnsi="宋体"/>
          <w:color w:val="auto"/>
          <w:sz w:val="24"/>
          <w:highlight w:val="none"/>
        </w:rPr>
        <w:t>28.3 如果中选候选人提供虚假材料和文件骗取中选的，比选人有权取消其中选资格。</w:t>
      </w:r>
    </w:p>
    <w:p>
      <w:pPr>
        <w:spacing w:line="360" w:lineRule="auto"/>
        <w:outlineLvl w:val="1"/>
        <w:rPr>
          <w:rFonts w:ascii="宋体" w:hAnsi="宋体"/>
          <w:b/>
          <w:bCs/>
          <w:color w:val="auto"/>
          <w:sz w:val="24"/>
          <w:highlight w:val="none"/>
        </w:rPr>
      </w:pPr>
      <w:r>
        <w:rPr>
          <w:rFonts w:hint="eastAsia" w:ascii="宋体" w:hAnsi="宋体"/>
          <w:b/>
          <w:bCs/>
          <w:color w:val="auto"/>
          <w:sz w:val="24"/>
          <w:highlight w:val="none"/>
        </w:rPr>
        <w:t>29.更改实际工作量的权利</w:t>
      </w:r>
    </w:p>
    <w:p>
      <w:pPr>
        <w:spacing w:line="360" w:lineRule="auto"/>
        <w:rPr>
          <w:rFonts w:ascii="宋体" w:hAnsi="宋体"/>
          <w:color w:val="auto"/>
          <w:sz w:val="24"/>
          <w:highlight w:val="none"/>
        </w:rPr>
      </w:pPr>
      <w:r>
        <w:rPr>
          <w:rFonts w:hint="eastAsia" w:ascii="宋体" w:hAnsi="宋体"/>
          <w:color w:val="auto"/>
          <w:sz w:val="24"/>
          <w:highlight w:val="none"/>
        </w:rPr>
        <w:t>29.1 比选人有权对“第四章 项目需求”中规定的内容予以增加或减少。</w:t>
      </w:r>
    </w:p>
    <w:p>
      <w:pPr>
        <w:spacing w:line="360" w:lineRule="auto"/>
        <w:outlineLvl w:val="1"/>
        <w:rPr>
          <w:rFonts w:ascii="宋体" w:hAnsi="宋体"/>
          <w:b/>
          <w:bCs/>
          <w:color w:val="auto"/>
          <w:sz w:val="24"/>
          <w:highlight w:val="none"/>
        </w:rPr>
      </w:pPr>
      <w:r>
        <w:rPr>
          <w:rFonts w:hint="eastAsia" w:ascii="宋体" w:hAnsi="宋体"/>
          <w:b/>
          <w:bCs/>
          <w:color w:val="auto"/>
          <w:sz w:val="24"/>
          <w:highlight w:val="none"/>
        </w:rPr>
        <w:t>30.接受和拒绝任何或所有参选的权利</w:t>
      </w:r>
    </w:p>
    <w:p>
      <w:pPr>
        <w:spacing w:line="360" w:lineRule="auto"/>
        <w:rPr>
          <w:rFonts w:ascii="宋体" w:hAnsi="宋体"/>
          <w:color w:val="auto"/>
          <w:sz w:val="24"/>
          <w:highlight w:val="none"/>
        </w:rPr>
      </w:pPr>
      <w:r>
        <w:rPr>
          <w:rFonts w:ascii="宋体" w:hAnsi="宋体"/>
          <w:color w:val="auto"/>
          <w:sz w:val="24"/>
          <w:highlight w:val="none"/>
        </w:rPr>
        <w:t>3</w:t>
      </w:r>
      <w:r>
        <w:rPr>
          <w:rFonts w:hint="eastAsia" w:ascii="宋体" w:hAnsi="宋体"/>
          <w:color w:val="auto"/>
          <w:sz w:val="24"/>
          <w:highlight w:val="none"/>
        </w:rPr>
        <w:t>0</w:t>
      </w:r>
      <w:r>
        <w:rPr>
          <w:rFonts w:ascii="宋体" w:hAnsi="宋体"/>
          <w:color w:val="auto"/>
          <w:sz w:val="24"/>
          <w:highlight w:val="none"/>
        </w:rPr>
        <w:t>.1</w:t>
      </w:r>
      <w:r>
        <w:rPr>
          <w:rFonts w:hint="eastAsia" w:ascii="宋体" w:hAnsi="宋体"/>
          <w:color w:val="auto"/>
          <w:sz w:val="24"/>
          <w:highlight w:val="none"/>
        </w:rPr>
        <w:t>比选人保留在任何时候，接受或拒绝任何参选的权利，以及取消比选并拒绝所有参选的权利，对因此而受影响的参选人不承担任何责任。</w:t>
      </w:r>
    </w:p>
    <w:p>
      <w:pPr>
        <w:spacing w:line="360" w:lineRule="auto"/>
        <w:outlineLvl w:val="1"/>
        <w:rPr>
          <w:rFonts w:ascii="宋体" w:hAnsi="宋体"/>
          <w:b/>
          <w:bCs/>
          <w:color w:val="auto"/>
          <w:sz w:val="24"/>
          <w:highlight w:val="none"/>
        </w:rPr>
      </w:pPr>
      <w:r>
        <w:rPr>
          <w:rFonts w:hint="eastAsia" w:ascii="宋体" w:hAnsi="宋体"/>
          <w:b/>
          <w:bCs/>
          <w:color w:val="auto"/>
          <w:sz w:val="24"/>
          <w:highlight w:val="none"/>
        </w:rPr>
        <w:t>31．中选通知书</w:t>
      </w:r>
    </w:p>
    <w:p>
      <w:pPr>
        <w:spacing w:line="360" w:lineRule="auto"/>
        <w:rPr>
          <w:rFonts w:ascii="宋体" w:hAnsi="宋体"/>
          <w:color w:val="auto"/>
          <w:sz w:val="24"/>
          <w:highlight w:val="none"/>
        </w:rPr>
      </w:pPr>
      <w:r>
        <w:rPr>
          <w:rFonts w:ascii="宋体" w:hAnsi="宋体"/>
          <w:color w:val="auto"/>
          <w:sz w:val="24"/>
          <w:highlight w:val="none"/>
        </w:rPr>
        <w:t>3</w:t>
      </w:r>
      <w:r>
        <w:rPr>
          <w:rFonts w:hint="eastAsia" w:ascii="宋体" w:hAnsi="宋体"/>
          <w:color w:val="auto"/>
          <w:sz w:val="24"/>
          <w:highlight w:val="none"/>
        </w:rPr>
        <w:t>1</w:t>
      </w:r>
      <w:r>
        <w:rPr>
          <w:rFonts w:ascii="宋体" w:hAnsi="宋体"/>
          <w:color w:val="auto"/>
          <w:sz w:val="24"/>
          <w:highlight w:val="none"/>
        </w:rPr>
        <w:t>.1</w:t>
      </w:r>
      <w:r>
        <w:rPr>
          <w:rFonts w:hint="eastAsia" w:ascii="宋体" w:hAnsi="宋体"/>
          <w:color w:val="auto"/>
          <w:sz w:val="24"/>
          <w:highlight w:val="none"/>
        </w:rPr>
        <w:t>中选人确定后，招标代理机构向中选人发出中选通知书。</w:t>
      </w:r>
    </w:p>
    <w:p>
      <w:pPr>
        <w:spacing w:line="360" w:lineRule="auto"/>
        <w:outlineLvl w:val="1"/>
        <w:rPr>
          <w:rFonts w:ascii="宋体" w:hAnsi="宋体"/>
          <w:b/>
          <w:bCs/>
          <w:color w:val="auto"/>
          <w:sz w:val="24"/>
          <w:highlight w:val="none"/>
        </w:rPr>
      </w:pPr>
      <w:r>
        <w:rPr>
          <w:rFonts w:hint="eastAsia" w:ascii="宋体" w:hAnsi="宋体"/>
          <w:b/>
          <w:bCs/>
          <w:color w:val="auto"/>
          <w:sz w:val="24"/>
          <w:highlight w:val="none"/>
        </w:rPr>
        <w:t>32．签订合同</w:t>
      </w:r>
    </w:p>
    <w:p>
      <w:pPr>
        <w:spacing w:line="360" w:lineRule="auto"/>
        <w:rPr>
          <w:rFonts w:ascii="宋体" w:hAnsi="宋体"/>
          <w:color w:val="auto"/>
          <w:sz w:val="24"/>
          <w:highlight w:val="none"/>
        </w:rPr>
      </w:pPr>
      <w:r>
        <w:rPr>
          <w:rFonts w:hint="eastAsia" w:ascii="宋体" w:hAnsi="宋体"/>
          <w:color w:val="auto"/>
          <w:sz w:val="24"/>
          <w:highlight w:val="none"/>
        </w:rPr>
        <w:t>32.1比选人与中选人将根据《中华人民共和国民法典》的规定，依据比选文件、参选文件、答疑、修改、评审过程中有关文件等签订合同。</w:t>
      </w:r>
    </w:p>
    <w:p>
      <w:pPr>
        <w:spacing w:line="360" w:lineRule="auto"/>
        <w:rPr>
          <w:rFonts w:ascii="宋体" w:hAnsi="宋体"/>
          <w:color w:val="auto"/>
          <w:sz w:val="24"/>
          <w:highlight w:val="none"/>
        </w:rPr>
      </w:pPr>
      <w:r>
        <w:rPr>
          <w:rFonts w:hint="eastAsia" w:ascii="宋体" w:hAnsi="宋体"/>
          <w:color w:val="auto"/>
          <w:sz w:val="24"/>
          <w:highlight w:val="none"/>
        </w:rPr>
        <w:t>32</w:t>
      </w:r>
      <w:r>
        <w:rPr>
          <w:rFonts w:ascii="宋体" w:hAnsi="宋体"/>
          <w:color w:val="auto"/>
          <w:sz w:val="24"/>
          <w:highlight w:val="none"/>
        </w:rPr>
        <w:t>.</w:t>
      </w:r>
      <w:r>
        <w:rPr>
          <w:rFonts w:hint="eastAsia" w:ascii="宋体" w:hAnsi="宋体"/>
          <w:color w:val="auto"/>
          <w:sz w:val="24"/>
          <w:highlight w:val="none"/>
        </w:rPr>
        <w:t>2若中选人接到中选通知书后，借故否认参选时已承诺的条件而拒绝签订合同，比选人将取消其中选资格，并有权根据排名依次确定中选候选人。依次确定的中选候选人与比选人预期差距较大，或者对比选人明显不利的，比选人可以拒绝补充中选候选人。</w:t>
      </w:r>
    </w:p>
    <w:p>
      <w:pPr>
        <w:spacing w:line="360" w:lineRule="auto"/>
        <w:outlineLvl w:val="1"/>
        <w:rPr>
          <w:rFonts w:ascii="宋体" w:hAnsi="宋体"/>
          <w:b/>
          <w:bCs/>
          <w:color w:val="auto"/>
          <w:sz w:val="24"/>
          <w:highlight w:val="none"/>
        </w:rPr>
      </w:pPr>
      <w:r>
        <w:rPr>
          <w:rFonts w:hint="eastAsia" w:ascii="宋体" w:hAnsi="宋体"/>
          <w:b/>
          <w:bCs/>
          <w:color w:val="auto"/>
          <w:sz w:val="24"/>
          <w:highlight w:val="none"/>
        </w:rPr>
        <w:t>33．招标代理费</w:t>
      </w:r>
    </w:p>
    <w:p>
      <w:pPr>
        <w:spacing w:line="360" w:lineRule="auto"/>
        <w:rPr>
          <w:rFonts w:ascii="宋体" w:hAnsi="宋体"/>
          <w:color w:val="auto"/>
          <w:sz w:val="24"/>
          <w:highlight w:val="none"/>
        </w:rPr>
      </w:pPr>
      <w:r>
        <w:rPr>
          <w:rFonts w:hint="eastAsia"/>
          <w:color w:val="auto"/>
          <w:spacing w:val="-4"/>
          <w:sz w:val="24"/>
          <w:highlight w:val="none"/>
        </w:rPr>
        <w:t>33.1</w:t>
      </w:r>
      <w:r>
        <w:rPr>
          <w:rFonts w:hint="eastAsia" w:ascii="宋体" w:hAnsi="宋体"/>
          <w:color w:val="auto"/>
          <w:sz w:val="24"/>
          <w:highlight w:val="none"/>
        </w:rPr>
        <w:t>中选人在领取中选通知书时，向招标代理机构一次性支付（代理报酬的金额或收取比例按比选人与招标代理机构签订的《招标代理合同》约定执行）。</w:t>
      </w:r>
    </w:p>
    <w:p>
      <w:pPr>
        <w:spacing w:line="360" w:lineRule="auto"/>
        <w:rPr>
          <w:color w:val="auto"/>
          <w:sz w:val="24"/>
          <w:highlight w:val="none"/>
        </w:rPr>
      </w:pPr>
      <w:r>
        <w:rPr>
          <w:rFonts w:hint="eastAsia"/>
          <w:color w:val="auto"/>
          <w:sz w:val="24"/>
          <w:highlight w:val="none"/>
        </w:rPr>
        <w:t>33.2 招标代理服务费只收现金、转账、支票、汇票。</w:t>
      </w:r>
    </w:p>
    <w:p>
      <w:pPr>
        <w:pStyle w:val="46"/>
        <w:rPr>
          <w:color w:val="auto"/>
          <w:highlight w:val="none"/>
        </w:rPr>
      </w:pPr>
    </w:p>
    <w:p>
      <w:pPr>
        <w:numPr>
          <w:ilvl w:val="0"/>
          <w:numId w:val="3"/>
        </w:numPr>
        <w:adjustRightInd w:val="0"/>
        <w:snapToGrid w:val="0"/>
        <w:spacing w:line="360" w:lineRule="auto"/>
        <w:ind w:left="1"/>
        <w:jc w:val="center"/>
        <w:rPr>
          <w:b/>
          <w:color w:val="auto"/>
          <w:sz w:val="24"/>
          <w:highlight w:val="none"/>
        </w:rPr>
      </w:pPr>
      <w:r>
        <w:rPr>
          <w:rFonts w:hint="eastAsia"/>
          <w:b/>
          <w:color w:val="auto"/>
          <w:sz w:val="24"/>
          <w:highlight w:val="none"/>
        </w:rPr>
        <w:t>异议受理</w:t>
      </w:r>
    </w:p>
    <w:p>
      <w:pPr>
        <w:adjustRightInd w:val="0"/>
        <w:snapToGrid w:val="0"/>
        <w:spacing w:line="360" w:lineRule="auto"/>
        <w:outlineLvl w:val="1"/>
        <w:rPr>
          <w:rFonts w:ascii="宋体" w:hAnsi="宋体"/>
          <w:color w:val="auto"/>
          <w:sz w:val="24"/>
          <w:highlight w:val="none"/>
        </w:rPr>
      </w:pPr>
      <w:r>
        <w:rPr>
          <w:rFonts w:hint="eastAsia"/>
          <w:b/>
          <w:color w:val="auto"/>
          <w:sz w:val="24"/>
          <w:highlight w:val="none"/>
        </w:rPr>
        <w:t>34．异议受理</w:t>
      </w:r>
    </w:p>
    <w:p>
      <w:pPr>
        <w:spacing w:line="360" w:lineRule="auto"/>
        <w:rPr>
          <w:rFonts w:ascii="宋体" w:hAnsi="宋体"/>
          <w:color w:val="auto"/>
          <w:sz w:val="24"/>
          <w:highlight w:val="none"/>
        </w:rPr>
      </w:pPr>
      <w:r>
        <w:rPr>
          <w:rFonts w:hint="eastAsia" w:ascii="宋体" w:hAnsi="宋体"/>
          <w:color w:val="auto"/>
          <w:sz w:val="24"/>
          <w:highlight w:val="none"/>
        </w:rPr>
        <w:t>34.1异议受理机构：江西明法招标有限公司,电话：</w:t>
      </w:r>
      <w:r>
        <w:rPr>
          <w:rFonts w:hint="eastAsia" w:ascii="宋体" w:hAnsi="宋体" w:cs="宋体"/>
          <w:color w:val="auto"/>
          <w:kern w:val="0"/>
          <w:sz w:val="24"/>
          <w:highlight w:val="none"/>
        </w:rPr>
        <w:t>15970604995</w:t>
      </w:r>
      <w:r>
        <w:rPr>
          <w:rFonts w:hint="eastAsia" w:ascii="宋体" w:hAnsi="宋体"/>
          <w:color w:val="auto"/>
          <w:sz w:val="24"/>
          <w:highlight w:val="none"/>
        </w:rPr>
        <w:t>。</w:t>
      </w:r>
    </w:p>
    <w:p>
      <w:pPr>
        <w:spacing w:line="360" w:lineRule="auto"/>
        <w:ind w:firstLine="480" w:firstLineChars="200"/>
        <w:rPr>
          <w:rFonts w:ascii="宋体" w:hAnsi="宋体"/>
          <w:color w:val="auto"/>
          <w:sz w:val="24"/>
          <w:highlight w:val="none"/>
        </w:rPr>
      </w:pPr>
      <w:r>
        <w:rPr>
          <w:rFonts w:hint="eastAsia" w:ascii="宋体" w:hAnsi="宋体"/>
          <w:color w:val="auto"/>
          <w:sz w:val="24"/>
          <w:highlight w:val="none"/>
        </w:rPr>
        <w:t>由单位授权委托人携带本人身份证、授权委托书、异议材料送达比选人，企业法定代表人自行前往的应提供本人身份证、企业法定代表人身份证明，否则不予受理。</w:t>
      </w:r>
    </w:p>
    <w:p>
      <w:pPr>
        <w:pStyle w:val="46"/>
        <w:rPr>
          <w:rFonts w:hAnsi="宋体"/>
          <w:color w:val="auto"/>
          <w:sz w:val="24"/>
          <w:highlight w:val="none"/>
        </w:rPr>
      </w:pPr>
    </w:p>
    <w:p>
      <w:pPr>
        <w:pStyle w:val="46"/>
        <w:rPr>
          <w:rFonts w:hAnsi="宋体"/>
          <w:color w:val="auto"/>
          <w:sz w:val="24"/>
          <w:highlight w:val="none"/>
        </w:rPr>
      </w:pPr>
    </w:p>
    <w:p>
      <w:pPr>
        <w:pStyle w:val="46"/>
        <w:rPr>
          <w:rFonts w:hAnsi="宋体"/>
          <w:color w:val="auto"/>
          <w:sz w:val="24"/>
          <w:highlight w:val="none"/>
        </w:rPr>
      </w:pPr>
    </w:p>
    <w:p>
      <w:pPr>
        <w:pStyle w:val="46"/>
        <w:rPr>
          <w:rFonts w:hAnsi="宋体"/>
          <w:color w:val="auto"/>
          <w:sz w:val="24"/>
          <w:highlight w:val="none"/>
        </w:rPr>
      </w:pPr>
    </w:p>
    <w:p>
      <w:pPr>
        <w:pStyle w:val="46"/>
        <w:rPr>
          <w:rFonts w:hAnsi="宋体"/>
          <w:color w:val="auto"/>
          <w:sz w:val="24"/>
          <w:highlight w:val="none"/>
        </w:rPr>
      </w:pPr>
    </w:p>
    <w:p>
      <w:pPr>
        <w:pStyle w:val="46"/>
        <w:rPr>
          <w:rFonts w:hAnsi="宋体"/>
          <w:color w:val="auto"/>
          <w:sz w:val="24"/>
          <w:highlight w:val="none"/>
        </w:rPr>
      </w:pPr>
    </w:p>
    <w:p>
      <w:pPr>
        <w:pStyle w:val="46"/>
        <w:rPr>
          <w:rFonts w:hAnsi="宋体"/>
          <w:color w:val="auto"/>
          <w:sz w:val="24"/>
          <w:highlight w:val="none"/>
        </w:rPr>
      </w:pPr>
    </w:p>
    <w:p>
      <w:pPr>
        <w:pStyle w:val="46"/>
        <w:rPr>
          <w:rFonts w:hAnsi="宋体"/>
          <w:color w:val="auto"/>
          <w:sz w:val="24"/>
          <w:highlight w:val="none"/>
        </w:rPr>
      </w:pPr>
    </w:p>
    <w:p>
      <w:pPr>
        <w:pStyle w:val="46"/>
        <w:rPr>
          <w:rFonts w:hAnsi="宋体"/>
          <w:color w:val="auto"/>
          <w:sz w:val="24"/>
          <w:highlight w:val="none"/>
        </w:rPr>
      </w:pPr>
    </w:p>
    <w:p>
      <w:pPr>
        <w:pStyle w:val="46"/>
        <w:rPr>
          <w:rFonts w:hAnsi="宋体"/>
          <w:color w:val="auto"/>
          <w:sz w:val="24"/>
          <w:highlight w:val="none"/>
        </w:rPr>
      </w:pPr>
    </w:p>
    <w:bookmarkEnd w:id="3"/>
    <w:bookmarkEnd w:id="4"/>
    <w:bookmarkEnd w:id="5"/>
    <w:bookmarkEnd w:id="6"/>
    <w:bookmarkEnd w:id="7"/>
    <w:p>
      <w:pPr>
        <w:pStyle w:val="23"/>
        <w:shd w:val="clear" w:color="auto" w:fill="FFFFFF"/>
        <w:spacing w:before="37" w:after="100" w:afterAutospacing="1" w:line="360" w:lineRule="exact"/>
        <w:ind w:right="23" w:firstLine="0"/>
        <w:jc w:val="center"/>
        <w:outlineLvl w:val="0"/>
        <w:rPr>
          <w:rFonts w:ascii="宋体" w:hAnsi="宋体"/>
          <w:b/>
          <w:color w:val="auto"/>
          <w:sz w:val="32"/>
          <w:szCs w:val="32"/>
          <w:highlight w:val="none"/>
        </w:rPr>
      </w:pPr>
      <w:bookmarkStart w:id="35" w:name="_Toc16307"/>
    </w:p>
    <w:p>
      <w:pPr>
        <w:pStyle w:val="23"/>
        <w:shd w:val="clear" w:color="auto" w:fill="FFFFFF"/>
        <w:spacing w:before="37" w:after="100" w:afterAutospacing="1" w:line="360" w:lineRule="exact"/>
        <w:ind w:right="23" w:firstLine="0"/>
        <w:jc w:val="center"/>
        <w:outlineLvl w:val="0"/>
        <w:rPr>
          <w:rFonts w:ascii="宋体" w:hAnsi="宋体"/>
          <w:b/>
          <w:bCs/>
          <w:color w:val="auto"/>
          <w:highlight w:val="none"/>
        </w:rPr>
      </w:pPr>
      <w:r>
        <w:rPr>
          <w:rFonts w:hint="eastAsia" w:ascii="宋体" w:hAnsi="宋体"/>
          <w:b/>
          <w:color w:val="auto"/>
          <w:sz w:val="32"/>
          <w:szCs w:val="32"/>
          <w:highlight w:val="none"/>
        </w:rPr>
        <w:t>第三章 评审办法</w:t>
      </w:r>
      <w:bookmarkEnd w:id="35"/>
    </w:p>
    <w:p>
      <w:pPr>
        <w:pStyle w:val="3"/>
        <w:spacing w:line="360" w:lineRule="auto"/>
        <w:ind w:firstLine="480" w:firstLineChars="200"/>
        <w:rPr>
          <w:rFonts w:ascii="宋体" w:hAnsi="宋体" w:cs="宋体"/>
          <w:color w:val="auto"/>
          <w:highlight w:val="none"/>
        </w:rPr>
      </w:pPr>
      <w:r>
        <w:rPr>
          <w:rFonts w:hint="eastAsia" w:ascii="宋体" w:hAnsi="宋体" w:cs="宋体"/>
          <w:color w:val="auto"/>
          <w:highlight w:val="none"/>
        </w:rPr>
        <w:t xml:space="preserve"> 评分分值设定为 100 分，其中技术标响应性 10 分，技术标施工组织设计 30 分，投标报价 60 分，得分高者即为中标人或第一中标排序人。</w:t>
      </w:r>
    </w:p>
    <w:p>
      <w:pPr>
        <w:pStyle w:val="3"/>
        <w:spacing w:line="360" w:lineRule="auto"/>
        <w:rPr>
          <w:rFonts w:ascii="宋体" w:hAnsi="宋体" w:cs="宋体"/>
          <w:color w:val="auto"/>
          <w:highlight w:val="none"/>
        </w:rPr>
      </w:pPr>
      <w:r>
        <w:rPr>
          <w:rFonts w:hint="eastAsia" w:ascii="宋体" w:hAnsi="宋体" w:cs="宋体"/>
          <w:color w:val="auto"/>
          <w:highlight w:val="none"/>
        </w:rPr>
        <w:t>一、技术标响应性评审标准（10分；每项1分）下列十项内容投标人以承诺的方式体现在技术标中。</w:t>
      </w:r>
    </w:p>
    <w:p>
      <w:pPr>
        <w:pStyle w:val="3"/>
        <w:spacing w:line="360" w:lineRule="auto"/>
        <w:rPr>
          <w:rFonts w:ascii="宋体" w:hAnsi="宋体" w:cs="宋体"/>
          <w:color w:val="auto"/>
          <w:highlight w:val="none"/>
        </w:rPr>
      </w:pPr>
      <w:r>
        <w:rPr>
          <w:rFonts w:hint="eastAsia" w:ascii="宋体" w:hAnsi="宋体" w:cs="宋体"/>
          <w:color w:val="auto"/>
          <w:highlight w:val="none"/>
        </w:rPr>
        <w:t>1、投标文件内容是否与招标范围相同；</w:t>
      </w:r>
    </w:p>
    <w:p>
      <w:pPr>
        <w:pStyle w:val="3"/>
        <w:spacing w:line="360" w:lineRule="auto"/>
        <w:rPr>
          <w:rFonts w:ascii="宋体" w:hAnsi="宋体" w:cs="宋体"/>
          <w:color w:val="auto"/>
          <w:highlight w:val="none"/>
        </w:rPr>
      </w:pPr>
      <w:r>
        <w:rPr>
          <w:rFonts w:hint="eastAsia" w:ascii="宋体" w:hAnsi="宋体" w:cs="宋体"/>
          <w:color w:val="auto"/>
          <w:highlight w:val="none"/>
        </w:rPr>
        <w:t>2、投标工期是否满足招标文件的要求；</w:t>
      </w:r>
    </w:p>
    <w:p>
      <w:pPr>
        <w:pStyle w:val="3"/>
        <w:spacing w:line="360" w:lineRule="auto"/>
        <w:rPr>
          <w:rFonts w:ascii="宋体" w:hAnsi="宋体" w:cs="宋体"/>
          <w:color w:val="auto"/>
          <w:highlight w:val="none"/>
        </w:rPr>
      </w:pPr>
      <w:r>
        <w:rPr>
          <w:rFonts w:hint="eastAsia" w:ascii="宋体" w:hAnsi="宋体" w:cs="宋体"/>
          <w:color w:val="auto"/>
          <w:highlight w:val="none"/>
        </w:rPr>
        <w:t>3、投标人承诺的质量等级是否满足招标文件的要求；</w:t>
      </w:r>
    </w:p>
    <w:p>
      <w:pPr>
        <w:pStyle w:val="3"/>
        <w:spacing w:line="360" w:lineRule="auto"/>
        <w:rPr>
          <w:rFonts w:ascii="宋体" w:hAnsi="宋体" w:cs="宋体"/>
          <w:color w:val="auto"/>
          <w:highlight w:val="none"/>
        </w:rPr>
      </w:pPr>
      <w:r>
        <w:rPr>
          <w:rFonts w:hint="eastAsia" w:ascii="宋体" w:hAnsi="宋体" w:cs="宋体"/>
          <w:color w:val="auto"/>
          <w:highlight w:val="none"/>
        </w:rPr>
        <w:t>4、投标有效期是否满足招标文件的要求；</w:t>
      </w:r>
    </w:p>
    <w:p>
      <w:pPr>
        <w:pStyle w:val="3"/>
        <w:spacing w:line="360" w:lineRule="auto"/>
        <w:rPr>
          <w:rFonts w:ascii="宋体" w:hAnsi="宋体" w:cs="宋体"/>
          <w:color w:val="auto"/>
          <w:highlight w:val="none"/>
        </w:rPr>
      </w:pPr>
      <w:r>
        <w:rPr>
          <w:rFonts w:hint="eastAsia" w:ascii="宋体" w:hAnsi="宋体" w:cs="宋体"/>
          <w:color w:val="auto"/>
          <w:highlight w:val="none"/>
        </w:rPr>
        <w:t>5、是否按招标文件要求的时间和方式提供投标担保；</w:t>
      </w:r>
    </w:p>
    <w:p>
      <w:pPr>
        <w:pStyle w:val="3"/>
        <w:spacing w:line="360" w:lineRule="auto"/>
        <w:rPr>
          <w:rFonts w:ascii="宋体" w:hAnsi="宋体" w:cs="宋体"/>
          <w:color w:val="auto"/>
          <w:highlight w:val="none"/>
        </w:rPr>
      </w:pPr>
      <w:r>
        <w:rPr>
          <w:rFonts w:hint="eastAsia" w:ascii="宋体" w:hAnsi="宋体" w:cs="宋体"/>
          <w:color w:val="auto"/>
          <w:highlight w:val="none"/>
        </w:rPr>
        <w:t>6、投标文件约定的合同条款的权利义务是否满足要求；</w:t>
      </w:r>
    </w:p>
    <w:p>
      <w:pPr>
        <w:pStyle w:val="3"/>
        <w:spacing w:line="360" w:lineRule="auto"/>
        <w:rPr>
          <w:rFonts w:ascii="宋体" w:hAnsi="宋体" w:cs="宋体"/>
          <w:color w:val="auto"/>
          <w:highlight w:val="none"/>
        </w:rPr>
      </w:pPr>
      <w:r>
        <w:rPr>
          <w:rFonts w:hint="eastAsia" w:ascii="宋体" w:hAnsi="宋体" w:cs="宋体"/>
          <w:color w:val="auto"/>
          <w:highlight w:val="none"/>
        </w:rPr>
        <w:t>7、是否符合工程项目的技术标准、规范和要求；</w:t>
      </w:r>
    </w:p>
    <w:p>
      <w:pPr>
        <w:pStyle w:val="3"/>
        <w:spacing w:line="360" w:lineRule="auto"/>
        <w:rPr>
          <w:rFonts w:ascii="宋体" w:hAnsi="宋体" w:cs="宋体"/>
          <w:color w:val="auto"/>
          <w:highlight w:val="none"/>
        </w:rPr>
      </w:pPr>
      <w:r>
        <w:rPr>
          <w:rFonts w:hint="eastAsia" w:ascii="宋体" w:hAnsi="宋体" w:cs="宋体"/>
          <w:color w:val="auto"/>
          <w:highlight w:val="none"/>
        </w:rPr>
        <w:t>8、是否附有招标人不能接受的条件；</w:t>
      </w:r>
    </w:p>
    <w:p>
      <w:pPr>
        <w:pStyle w:val="3"/>
        <w:spacing w:line="360" w:lineRule="auto"/>
        <w:rPr>
          <w:rFonts w:ascii="宋体" w:hAnsi="宋体" w:cs="宋体"/>
          <w:color w:val="auto"/>
          <w:highlight w:val="none"/>
        </w:rPr>
      </w:pPr>
      <w:r>
        <w:rPr>
          <w:rFonts w:hint="eastAsia" w:ascii="宋体" w:hAnsi="宋体" w:cs="宋体"/>
          <w:color w:val="auto"/>
          <w:highlight w:val="none"/>
        </w:rPr>
        <w:t>9、投标的组织结构中人员名单是否与资格预审时一致；</w:t>
      </w:r>
    </w:p>
    <w:p>
      <w:pPr>
        <w:pStyle w:val="3"/>
        <w:spacing w:line="360" w:lineRule="auto"/>
        <w:rPr>
          <w:rFonts w:ascii="宋体" w:hAnsi="宋体" w:cs="宋体"/>
          <w:color w:val="auto"/>
          <w:highlight w:val="none"/>
        </w:rPr>
      </w:pPr>
      <w:r>
        <w:rPr>
          <w:rFonts w:hint="eastAsia" w:ascii="宋体" w:hAnsi="宋体" w:cs="宋体"/>
          <w:color w:val="auto"/>
          <w:highlight w:val="none"/>
        </w:rPr>
        <w:t>10、企业人员是否有按施工要求到场及在施工期内不随意更换的诚信承诺；</w:t>
      </w:r>
    </w:p>
    <w:p>
      <w:pPr>
        <w:pStyle w:val="3"/>
        <w:spacing w:line="360" w:lineRule="auto"/>
        <w:rPr>
          <w:rFonts w:ascii="宋体" w:hAnsi="宋体" w:cs="宋体"/>
          <w:color w:val="auto"/>
          <w:highlight w:val="none"/>
        </w:rPr>
      </w:pPr>
      <w:r>
        <w:rPr>
          <w:rFonts w:hint="eastAsia" w:ascii="宋体" w:hAnsi="宋体" w:cs="宋体"/>
          <w:color w:val="auto"/>
          <w:highlight w:val="none"/>
        </w:rPr>
        <w:t>投标文件中有不响应性内容时，属于否决投标的，按否决投标处理。</w:t>
      </w:r>
    </w:p>
    <w:p>
      <w:pPr>
        <w:pStyle w:val="3"/>
        <w:spacing w:line="360" w:lineRule="auto"/>
        <w:rPr>
          <w:rFonts w:ascii="宋体" w:hAnsi="宋体" w:cs="宋体"/>
          <w:color w:val="auto"/>
          <w:highlight w:val="none"/>
        </w:rPr>
      </w:pPr>
      <w:r>
        <w:rPr>
          <w:rFonts w:hint="eastAsia" w:ascii="宋体" w:hAnsi="宋体" w:cs="宋体"/>
          <w:color w:val="auto"/>
          <w:highlight w:val="none"/>
        </w:rPr>
        <w:t>二、施工组织设计详细评审标准(30分)</w:t>
      </w:r>
    </w:p>
    <w:p>
      <w:pPr>
        <w:pStyle w:val="3"/>
        <w:spacing w:line="360" w:lineRule="auto"/>
        <w:rPr>
          <w:rFonts w:ascii="宋体" w:hAnsi="宋体" w:cs="宋体"/>
          <w:color w:val="auto"/>
          <w:highlight w:val="none"/>
        </w:rPr>
      </w:pPr>
      <w:r>
        <w:rPr>
          <w:rFonts w:hint="eastAsia" w:ascii="宋体" w:hAnsi="宋体" w:cs="宋体"/>
          <w:color w:val="auto"/>
          <w:highlight w:val="none"/>
        </w:rPr>
        <w:t xml:space="preserve">    施工组织设计采用详细量化计分的方式进行评审。详细评审得分为该投标人的施工组织设计得分（共计 30 分）。具体量化计分方式如下：</w:t>
      </w:r>
    </w:p>
    <w:p>
      <w:pPr>
        <w:pStyle w:val="3"/>
        <w:spacing w:line="360" w:lineRule="auto"/>
        <w:rPr>
          <w:rFonts w:ascii="宋体" w:hAnsi="宋体" w:cs="宋体"/>
          <w:color w:val="auto"/>
          <w:highlight w:val="none"/>
        </w:rPr>
      </w:pPr>
      <w:r>
        <w:rPr>
          <w:rFonts w:hint="eastAsia" w:ascii="宋体" w:hAnsi="宋体" w:cs="宋体"/>
          <w:color w:val="auto"/>
          <w:highlight w:val="none"/>
        </w:rPr>
        <w:t>1、总体目标明确、准确、可行性高。合理3分；基本合理1.5分；不合格0分。</w:t>
      </w:r>
    </w:p>
    <w:p>
      <w:pPr>
        <w:pStyle w:val="3"/>
        <w:spacing w:line="360" w:lineRule="auto"/>
        <w:rPr>
          <w:rFonts w:ascii="宋体" w:hAnsi="宋体" w:cs="宋体"/>
          <w:color w:val="auto"/>
          <w:highlight w:val="none"/>
        </w:rPr>
      </w:pPr>
      <w:r>
        <w:rPr>
          <w:rFonts w:hint="eastAsia" w:ascii="宋体" w:hAnsi="宋体" w:cs="宋体"/>
          <w:color w:val="auto"/>
          <w:highlight w:val="none"/>
        </w:rPr>
        <w:t>2、项目管理体系和机构完整，组织协调措施有力。合理3分；基本合理1.5分；不合格0分。</w:t>
      </w:r>
    </w:p>
    <w:p>
      <w:pPr>
        <w:pStyle w:val="3"/>
        <w:spacing w:line="360" w:lineRule="auto"/>
        <w:rPr>
          <w:rFonts w:ascii="宋体" w:hAnsi="宋体" w:cs="宋体"/>
          <w:color w:val="auto"/>
          <w:highlight w:val="none"/>
        </w:rPr>
      </w:pPr>
      <w:r>
        <w:rPr>
          <w:rFonts w:hint="eastAsia" w:ascii="宋体" w:hAnsi="宋体" w:cs="宋体"/>
          <w:color w:val="auto"/>
          <w:highlight w:val="none"/>
        </w:rPr>
        <w:t>3、工程重点、难点分析准确，建议合理。合理3分；基本合理1.5分；不合格0分。</w:t>
      </w:r>
    </w:p>
    <w:p>
      <w:pPr>
        <w:pStyle w:val="3"/>
        <w:spacing w:line="360" w:lineRule="auto"/>
        <w:rPr>
          <w:rFonts w:ascii="宋体" w:hAnsi="宋体" w:cs="宋体"/>
          <w:color w:val="auto"/>
          <w:highlight w:val="none"/>
        </w:rPr>
      </w:pPr>
      <w:r>
        <w:rPr>
          <w:rFonts w:hint="eastAsia" w:ascii="宋体" w:hAnsi="宋体" w:cs="宋体"/>
          <w:color w:val="auto"/>
          <w:highlight w:val="none"/>
        </w:rPr>
        <w:t>4、施工组织部署方案合理，措施有效。合理3分；基本合理1.5分；不合格0分。</w:t>
      </w:r>
    </w:p>
    <w:p>
      <w:pPr>
        <w:pStyle w:val="3"/>
        <w:spacing w:line="360" w:lineRule="auto"/>
        <w:rPr>
          <w:rFonts w:ascii="宋体" w:hAnsi="宋体" w:cs="宋体"/>
          <w:color w:val="auto"/>
          <w:highlight w:val="none"/>
        </w:rPr>
      </w:pPr>
      <w:r>
        <w:rPr>
          <w:rFonts w:hint="eastAsia" w:ascii="宋体" w:hAnsi="宋体" w:cs="宋体"/>
          <w:color w:val="auto"/>
          <w:highlight w:val="none"/>
        </w:rPr>
        <w:t>5、专项施工方案合理，措施有效。合理3分；基本合理1.5分；不合格0分。</w:t>
      </w:r>
    </w:p>
    <w:p>
      <w:pPr>
        <w:pStyle w:val="3"/>
        <w:spacing w:line="360" w:lineRule="auto"/>
        <w:rPr>
          <w:rFonts w:ascii="宋体" w:hAnsi="宋体" w:cs="宋体"/>
          <w:color w:val="auto"/>
          <w:highlight w:val="none"/>
        </w:rPr>
      </w:pPr>
      <w:r>
        <w:rPr>
          <w:rFonts w:hint="eastAsia" w:ascii="宋体" w:hAnsi="宋体" w:cs="宋体"/>
          <w:color w:val="auto"/>
          <w:highlight w:val="none"/>
        </w:rPr>
        <w:t>6、工期保证措施有力。合理3分；基本合理1.5分；不合格0分。</w:t>
      </w:r>
    </w:p>
    <w:p>
      <w:pPr>
        <w:pStyle w:val="3"/>
        <w:spacing w:line="360" w:lineRule="auto"/>
        <w:rPr>
          <w:rFonts w:ascii="宋体" w:hAnsi="宋体" w:cs="宋体"/>
          <w:color w:val="auto"/>
          <w:highlight w:val="none"/>
        </w:rPr>
      </w:pPr>
      <w:r>
        <w:rPr>
          <w:rFonts w:hint="eastAsia" w:ascii="宋体" w:hAnsi="宋体" w:cs="宋体"/>
          <w:color w:val="auto"/>
          <w:highlight w:val="none"/>
        </w:rPr>
        <w:t>7、质量管理体系完整、保证措施有力。合理3分；基本合理1.5分；不合格0分。</w:t>
      </w:r>
    </w:p>
    <w:p>
      <w:pPr>
        <w:pStyle w:val="3"/>
        <w:spacing w:line="360" w:lineRule="auto"/>
        <w:rPr>
          <w:rFonts w:ascii="宋体" w:hAnsi="宋体" w:cs="宋体"/>
          <w:color w:val="auto"/>
          <w:highlight w:val="none"/>
        </w:rPr>
      </w:pPr>
      <w:r>
        <w:rPr>
          <w:rFonts w:hint="eastAsia" w:ascii="宋体" w:hAnsi="宋体" w:cs="宋体"/>
          <w:color w:val="auto"/>
          <w:highlight w:val="none"/>
        </w:rPr>
        <w:t>8、安全生产管理体系完整，保证措施有力。合理3分；基本合理1.5分；不合格0分。</w:t>
      </w:r>
    </w:p>
    <w:p>
      <w:pPr>
        <w:pStyle w:val="3"/>
        <w:spacing w:line="360" w:lineRule="auto"/>
        <w:rPr>
          <w:rFonts w:ascii="宋体" w:hAnsi="宋体" w:cs="宋体"/>
          <w:color w:val="auto"/>
          <w:highlight w:val="none"/>
        </w:rPr>
      </w:pPr>
      <w:r>
        <w:rPr>
          <w:rFonts w:hint="eastAsia" w:ascii="宋体" w:hAnsi="宋体" w:cs="宋体"/>
          <w:color w:val="auto"/>
          <w:highlight w:val="none"/>
        </w:rPr>
        <w:t>9、文明施工管理方案合理，措施有效。合理3分；基本合理1.5分；不合格0分。</w:t>
      </w:r>
    </w:p>
    <w:p>
      <w:pPr>
        <w:pStyle w:val="3"/>
        <w:spacing w:line="360" w:lineRule="auto"/>
        <w:rPr>
          <w:rFonts w:ascii="宋体" w:hAnsi="宋体" w:cs="宋体"/>
          <w:color w:val="auto"/>
          <w:highlight w:val="none"/>
        </w:rPr>
      </w:pPr>
      <w:r>
        <w:rPr>
          <w:rFonts w:hint="eastAsia" w:ascii="宋体" w:hAnsi="宋体" w:cs="宋体"/>
          <w:color w:val="auto"/>
          <w:highlight w:val="none"/>
        </w:rPr>
        <w:t>10、大气扬尘治理及保证措施。合理3分；基本合理1.5分；不合格0分。</w:t>
      </w:r>
    </w:p>
    <w:p>
      <w:pPr>
        <w:pStyle w:val="3"/>
        <w:spacing w:line="360" w:lineRule="auto"/>
        <w:rPr>
          <w:rFonts w:ascii="宋体" w:hAnsi="宋体" w:cs="宋体"/>
          <w:color w:val="auto"/>
          <w:highlight w:val="none"/>
        </w:rPr>
      </w:pPr>
      <w:r>
        <w:rPr>
          <w:rFonts w:hint="eastAsia" w:ascii="宋体" w:hAnsi="宋体" w:cs="宋体"/>
          <w:color w:val="auto"/>
          <w:highlight w:val="none"/>
        </w:rPr>
        <w:t>三、商务报价 60 分</w:t>
      </w:r>
    </w:p>
    <w:p>
      <w:pPr>
        <w:pStyle w:val="70"/>
        <w:spacing w:line="360" w:lineRule="auto"/>
        <w:rPr>
          <w:color w:val="auto"/>
          <w:highlight w:val="none"/>
        </w:rPr>
      </w:pPr>
      <w:r>
        <w:rPr>
          <w:rFonts w:hint="eastAsia"/>
          <w:color w:val="auto"/>
          <w:highlight w:val="none"/>
        </w:rPr>
        <w:t>招标人</w:t>
      </w:r>
      <w:r>
        <w:rPr>
          <w:color w:val="auto"/>
          <w:highlight w:val="none"/>
        </w:rPr>
        <w:t>提出合理要约价格，投标人</w:t>
      </w:r>
      <w:r>
        <w:rPr>
          <w:rFonts w:hint="eastAsia"/>
          <w:color w:val="auto"/>
          <w:highlight w:val="none"/>
        </w:rPr>
        <w:t>需</w:t>
      </w:r>
      <w:r>
        <w:rPr>
          <w:color w:val="auto"/>
          <w:highlight w:val="none"/>
        </w:rPr>
        <w:t>响应承诺报价。</w:t>
      </w:r>
    </w:p>
    <w:p>
      <w:pPr>
        <w:pStyle w:val="70"/>
        <w:spacing w:line="360" w:lineRule="auto"/>
        <w:rPr>
          <w:color w:val="auto"/>
          <w:highlight w:val="none"/>
        </w:rPr>
      </w:pPr>
      <w:r>
        <w:rPr>
          <w:color w:val="auto"/>
          <w:highlight w:val="none"/>
        </w:rPr>
        <w:t>（1）响应招标人要约投标报价的得</w:t>
      </w:r>
      <w:r>
        <w:rPr>
          <w:rFonts w:hint="eastAsia"/>
          <w:color w:val="auto"/>
          <w:highlight w:val="none"/>
        </w:rPr>
        <w:t>满</w:t>
      </w:r>
      <w:r>
        <w:rPr>
          <w:color w:val="auto"/>
          <w:highlight w:val="none"/>
        </w:rPr>
        <w:t>分</w:t>
      </w:r>
      <w:r>
        <w:rPr>
          <w:rFonts w:hint="eastAsia"/>
          <w:color w:val="auto"/>
          <w:highlight w:val="none"/>
        </w:rPr>
        <w:t>；</w:t>
      </w:r>
    </w:p>
    <w:p>
      <w:pPr>
        <w:pStyle w:val="3"/>
        <w:spacing w:line="360" w:lineRule="auto"/>
        <w:rPr>
          <w:rFonts w:ascii="宋体" w:hAnsi="宋体" w:cs="宋体"/>
          <w:color w:val="auto"/>
          <w:highlight w:val="none"/>
        </w:rPr>
      </w:pPr>
      <w:r>
        <w:rPr>
          <w:rFonts w:hint="eastAsia" w:ascii="宋体" w:hAnsi="宋体" w:cs="宋体"/>
          <w:color w:val="auto"/>
          <w:highlight w:val="none"/>
        </w:rPr>
        <w:t>（</w:t>
      </w:r>
      <w:r>
        <w:rPr>
          <w:color w:val="auto"/>
          <w:highlight w:val="none"/>
        </w:rPr>
        <w:t>2</w:t>
      </w:r>
      <w:r>
        <w:rPr>
          <w:rFonts w:hint="eastAsia" w:ascii="宋体" w:hAnsi="宋体" w:cs="宋体"/>
          <w:color w:val="auto"/>
          <w:highlight w:val="none"/>
        </w:rPr>
        <w:t>）不响应招标人要约投标报价的，作无效标处理。</w:t>
      </w: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pStyle w:val="3"/>
        <w:spacing w:line="360" w:lineRule="auto"/>
        <w:rPr>
          <w:rFonts w:ascii="宋体" w:hAnsi="宋体" w:cs="宋体"/>
          <w:color w:val="auto"/>
          <w:highlight w:val="none"/>
        </w:rPr>
      </w:pPr>
    </w:p>
    <w:p>
      <w:pPr>
        <w:spacing w:line="440" w:lineRule="exact"/>
        <w:jc w:val="center"/>
        <w:outlineLvl w:val="0"/>
        <w:rPr>
          <w:rFonts w:ascii="宋体" w:hAnsi="宋体" w:cs="宋体"/>
          <w:b/>
          <w:color w:val="auto"/>
          <w:sz w:val="32"/>
          <w:szCs w:val="32"/>
          <w:highlight w:val="none"/>
        </w:rPr>
      </w:pPr>
      <w:bookmarkStart w:id="36" w:name="_Toc3315"/>
    </w:p>
    <w:p>
      <w:pPr>
        <w:spacing w:line="440" w:lineRule="exact"/>
        <w:jc w:val="center"/>
        <w:outlineLvl w:val="0"/>
        <w:rPr>
          <w:rFonts w:ascii="宋体" w:hAnsi="宋体" w:cs="宋体"/>
          <w:b/>
          <w:color w:val="auto"/>
          <w:sz w:val="32"/>
          <w:szCs w:val="32"/>
          <w:highlight w:val="none"/>
        </w:rPr>
      </w:pPr>
      <w:r>
        <w:rPr>
          <w:rFonts w:hint="eastAsia" w:ascii="宋体" w:hAnsi="宋体" w:cs="宋体"/>
          <w:b/>
          <w:color w:val="auto"/>
          <w:sz w:val="32"/>
          <w:szCs w:val="32"/>
          <w:highlight w:val="none"/>
        </w:rPr>
        <w:t>第四章项目需求</w:t>
      </w:r>
      <w:bookmarkEnd w:id="36"/>
    </w:p>
    <w:p>
      <w:pPr>
        <w:rPr>
          <w:rFonts w:ascii="仿宋_GB2312" w:eastAsia="仿宋_GB2312"/>
          <w:b/>
          <w:bCs/>
          <w:color w:val="auto"/>
          <w:sz w:val="32"/>
          <w:szCs w:val="32"/>
          <w:highlight w:val="none"/>
        </w:rPr>
      </w:pPr>
      <w:bookmarkStart w:id="37" w:name="_Toc3945"/>
      <w:r>
        <w:rPr>
          <w:rFonts w:hint="eastAsia" w:ascii="仿宋_GB2312" w:eastAsia="仿宋_GB2312"/>
          <w:b/>
          <w:bCs/>
          <w:color w:val="auto"/>
          <w:sz w:val="32"/>
          <w:szCs w:val="32"/>
          <w:highlight w:val="none"/>
        </w:rPr>
        <w:t>一、控制价清单</w:t>
      </w:r>
    </w:p>
    <w:p>
      <w:pPr>
        <w:rPr>
          <w:rFonts w:hint="eastAsia" w:asciiTheme="minorEastAsia" w:hAnsiTheme="minorEastAsia" w:eastAsiaTheme="minorEastAsia"/>
          <w:color w:val="auto"/>
          <w:sz w:val="28"/>
          <w:szCs w:val="28"/>
          <w:highlight w:val="none"/>
          <w:lang w:eastAsia="zh-CN"/>
        </w:rPr>
      </w:pPr>
      <w:r>
        <w:rPr>
          <w:rFonts w:hint="eastAsia" w:asciiTheme="minorEastAsia" w:hAnsiTheme="minorEastAsia" w:eastAsiaTheme="minorEastAsia"/>
          <w:color w:val="auto"/>
          <w:sz w:val="28"/>
          <w:szCs w:val="28"/>
          <w:highlight w:val="none"/>
        </w:rPr>
        <w:t>招标金额：514028.51元</w:t>
      </w:r>
      <w:r>
        <w:rPr>
          <w:rFonts w:hint="eastAsia" w:asciiTheme="minorEastAsia" w:hAnsiTheme="minorEastAsia" w:eastAsiaTheme="minorEastAsia"/>
          <w:color w:val="auto"/>
          <w:sz w:val="28"/>
          <w:szCs w:val="28"/>
          <w:highlight w:val="none"/>
          <w:lang w:eastAsia="zh-CN"/>
        </w:rPr>
        <w:t>，要约价清单如下：</w:t>
      </w:r>
    </w:p>
    <w:p>
      <w:pPr>
        <w:pStyle w:val="2"/>
        <w:rPr>
          <w:rFonts w:hint="eastAsia"/>
          <w:color w:val="auto"/>
          <w:highlight w:val="none"/>
          <w:lang w:eastAsia="zh-CN"/>
        </w:rPr>
      </w:pPr>
    </w:p>
    <w:tbl>
      <w:tblPr>
        <w:tblStyle w:val="26"/>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96"/>
        <w:gridCol w:w="712"/>
        <w:gridCol w:w="1852"/>
        <w:gridCol w:w="1026"/>
        <w:gridCol w:w="1026"/>
        <w:gridCol w:w="1068"/>
        <w:gridCol w:w="1077"/>
        <w:gridCol w:w="937"/>
        <w:gridCol w:w="93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13" w:type="pct"/>
            <w:gridSpan w:val="2"/>
            <w:vMerge w:val="restart"/>
            <w:tcBorders>
              <w:top w:val="single" w:color="auto" w:sz="4" w:space="0"/>
              <w:left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序号</w:t>
            </w:r>
          </w:p>
        </w:tc>
        <w:tc>
          <w:tcPr>
            <w:tcW w:w="1025" w:type="pct"/>
            <w:vMerge w:val="restart"/>
            <w:tcBorders>
              <w:top w:val="single" w:color="000000" w:sz="4" w:space="0"/>
              <w:left w:val="single" w:color="auto" w:sz="4" w:space="0"/>
              <w:bottom w:val="single" w:color="000000" w:sz="4" w:space="0"/>
              <w:right w:val="single" w:color="000000" w:sz="4" w:space="0"/>
            </w:tcBorders>
            <w:shd w:val="clear" w:color="auto" w:fill="E8E8E8"/>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名称</w:t>
            </w:r>
          </w:p>
        </w:tc>
        <w:tc>
          <w:tcPr>
            <w:tcW w:w="568" w:type="pct"/>
            <w:vMerge w:val="restart"/>
            <w:tcBorders>
              <w:top w:val="single" w:color="000000" w:sz="4" w:space="0"/>
              <w:left w:val="single" w:color="000000" w:sz="4" w:space="0"/>
              <w:bottom w:val="single" w:color="000000" w:sz="4" w:space="0"/>
              <w:right w:val="single" w:color="000000" w:sz="4" w:space="0"/>
            </w:tcBorders>
            <w:shd w:val="clear" w:color="auto" w:fill="E8E8E8"/>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金额（元）</w:t>
            </w:r>
          </w:p>
        </w:tc>
        <w:tc>
          <w:tcPr>
            <w:tcW w:w="568" w:type="pct"/>
            <w:tcBorders>
              <w:top w:val="single" w:color="000000" w:sz="4" w:space="0"/>
              <w:left w:val="single" w:color="000000" w:sz="4" w:space="0"/>
              <w:bottom w:val="single" w:color="000000" w:sz="4" w:space="0"/>
              <w:right w:val="single" w:color="000000" w:sz="4" w:space="0"/>
            </w:tcBorders>
            <w:shd w:val="clear" w:color="auto" w:fill="E8E8E8"/>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分部分项</w:t>
            </w:r>
          </w:p>
        </w:tc>
        <w:tc>
          <w:tcPr>
            <w:tcW w:w="1187" w:type="pct"/>
            <w:gridSpan w:val="2"/>
            <w:tcBorders>
              <w:top w:val="single" w:color="000000" w:sz="4" w:space="0"/>
              <w:left w:val="single" w:color="000000" w:sz="4" w:space="0"/>
              <w:bottom w:val="single" w:color="000000" w:sz="4" w:space="0"/>
              <w:right w:val="single" w:color="000000" w:sz="4" w:space="0"/>
            </w:tcBorders>
            <w:shd w:val="clear" w:color="auto" w:fill="E8E8E8"/>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措施项目</w:t>
            </w:r>
          </w:p>
        </w:tc>
        <w:tc>
          <w:tcPr>
            <w:tcW w:w="518" w:type="pct"/>
            <w:tcBorders>
              <w:top w:val="single" w:color="000000" w:sz="4" w:space="0"/>
              <w:left w:val="single" w:color="000000" w:sz="4" w:space="0"/>
              <w:bottom w:val="single" w:color="000000" w:sz="4" w:space="0"/>
              <w:right w:val="single" w:color="000000" w:sz="4" w:space="0"/>
            </w:tcBorders>
            <w:shd w:val="clear" w:color="auto" w:fill="E8E8E8"/>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规费</w:t>
            </w:r>
          </w:p>
        </w:tc>
        <w:tc>
          <w:tcPr>
            <w:tcW w:w="518" w:type="pct"/>
            <w:vMerge w:val="restart"/>
            <w:tcBorders>
              <w:top w:val="single" w:color="000000" w:sz="4" w:space="0"/>
              <w:left w:val="single" w:color="000000" w:sz="4" w:space="0"/>
              <w:bottom w:val="single" w:color="000000" w:sz="4" w:space="0"/>
              <w:right w:val="single" w:color="000000" w:sz="4" w:space="0"/>
            </w:tcBorders>
            <w:shd w:val="clear" w:color="auto" w:fill="E8E8E8"/>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税金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13" w:type="pct"/>
            <w:gridSpan w:val="2"/>
            <w:vMerge w:val="continue"/>
            <w:tcBorders>
              <w:left w:val="single" w:color="auto" w:sz="4" w:space="0"/>
              <w:bottom w:val="single" w:color="auto" w:sz="4" w:space="0"/>
              <w:right w:val="single" w:color="auto" w:sz="4" w:space="0"/>
            </w:tcBorders>
            <w:shd w:val="clear" w:color="auto" w:fill="auto"/>
            <w:noWrap/>
            <w:vAlign w:val="bottom"/>
          </w:tcPr>
          <w:p>
            <w:pPr>
              <w:jc w:val="center"/>
              <w:rPr>
                <w:rFonts w:hint="eastAsia" w:ascii="宋体" w:hAnsi="宋体" w:eastAsia="宋体" w:cs="宋体"/>
                <w:i w:val="0"/>
                <w:iCs w:val="0"/>
                <w:color w:val="auto"/>
                <w:sz w:val="18"/>
                <w:szCs w:val="18"/>
                <w:highlight w:val="none"/>
                <w:u w:val="none"/>
              </w:rPr>
            </w:pPr>
          </w:p>
        </w:tc>
        <w:tc>
          <w:tcPr>
            <w:tcW w:w="1025" w:type="pct"/>
            <w:vMerge w:val="continue"/>
            <w:tcBorders>
              <w:top w:val="single" w:color="000000" w:sz="4" w:space="0"/>
              <w:left w:val="single" w:color="auto" w:sz="4" w:space="0"/>
              <w:bottom w:val="single" w:color="000000" w:sz="4" w:space="0"/>
              <w:right w:val="single" w:color="000000" w:sz="4" w:space="0"/>
            </w:tcBorders>
            <w:shd w:val="clear" w:color="auto" w:fill="E8E8E8"/>
            <w:vAlign w:val="center"/>
          </w:tcPr>
          <w:p>
            <w:pPr>
              <w:jc w:val="center"/>
              <w:rPr>
                <w:rFonts w:hint="eastAsia" w:ascii="宋体" w:hAnsi="宋体" w:eastAsia="宋体" w:cs="宋体"/>
                <w:i w:val="0"/>
                <w:iCs w:val="0"/>
                <w:color w:val="auto"/>
                <w:sz w:val="18"/>
                <w:szCs w:val="18"/>
                <w:highlight w:val="none"/>
                <w:u w:val="none"/>
              </w:rPr>
            </w:pPr>
          </w:p>
        </w:tc>
        <w:tc>
          <w:tcPr>
            <w:tcW w:w="568" w:type="pct"/>
            <w:vMerge w:val="continue"/>
            <w:tcBorders>
              <w:top w:val="single" w:color="000000" w:sz="4" w:space="0"/>
              <w:left w:val="single" w:color="000000" w:sz="4" w:space="0"/>
              <w:bottom w:val="single" w:color="000000" w:sz="4" w:space="0"/>
              <w:right w:val="single" w:color="000000" w:sz="4" w:space="0"/>
            </w:tcBorders>
            <w:shd w:val="clear" w:color="auto" w:fill="E8E8E8"/>
            <w:vAlign w:val="center"/>
          </w:tcPr>
          <w:p>
            <w:pPr>
              <w:jc w:val="center"/>
              <w:rPr>
                <w:rFonts w:hint="eastAsia" w:ascii="宋体" w:hAnsi="宋体" w:eastAsia="宋体" w:cs="宋体"/>
                <w:i w:val="0"/>
                <w:iCs w:val="0"/>
                <w:color w:val="auto"/>
                <w:sz w:val="18"/>
                <w:szCs w:val="18"/>
                <w:highlight w:val="none"/>
                <w:u w:val="none"/>
              </w:rPr>
            </w:pPr>
          </w:p>
        </w:tc>
        <w:tc>
          <w:tcPr>
            <w:tcW w:w="568" w:type="pct"/>
            <w:tcBorders>
              <w:top w:val="single" w:color="000000" w:sz="4" w:space="0"/>
              <w:left w:val="single" w:color="000000" w:sz="4" w:space="0"/>
              <w:bottom w:val="single" w:color="000000" w:sz="4" w:space="0"/>
              <w:right w:val="single" w:color="000000" w:sz="4" w:space="0"/>
            </w:tcBorders>
            <w:shd w:val="clear" w:color="auto" w:fill="E8E8E8"/>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分部分项合计</w:t>
            </w:r>
          </w:p>
        </w:tc>
        <w:tc>
          <w:tcPr>
            <w:tcW w:w="591" w:type="pct"/>
            <w:tcBorders>
              <w:top w:val="single" w:color="000000" w:sz="4" w:space="0"/>
              <w:left w:val="single" w:color="000000" w:sz="4" w:space="0"/>
              <w:bottom w:val="single" w:color="000000" w:sz="4" w:space="0"/>
              <w:right w:val="single" w:color="000000" w:sz="4" w:space="0"/>
            </w:tcBorders>
            <w:shd w:val="clear" w:color="auto" w:fill="E8E8E8"/>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安全文明施工费</w:t>
            </w:r>
          </w:p>
        </w:tc>
        <w:tc>
          <w:tcPr>
            <w:tcW w:w="596" w:type="pct"/>
            <w:tcBorders>
              <w:top w:val="single" w:color="000000" w:sz="4" w:space="0"/>
              <w:left w:val="single" w:color="000000" w:sz="4" w:space="0"/>
              <w:bottom w:val="single" w:color="000000" w:sz="4" w:space="0"/>
              <w:right w:val="single" w:color="000000" w:sz="4" w:space="0"/>
            </w:tcBorders>
            <w:shd w:val="clear" w:color="auto" w:fill="E8E8E8"/>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措施项目合计</w:t>
            </w:r>
          </w:p>
        </w:tc>
        <w:tc>
          <w:tcPr>
            <w:tcW w:w="518" w:type="pct"/>
            <w:tcBorders>
              <w:top w:val="single" w:color="000000" w:sz="4" w:space="0"/>
              <w:left w:val="single" w:color="000000" w:sz="4" w:space="0"/>
              <w:bottom w:val="single" w:color="000000" w:sz="4" w:space="0"/>
              <w:right w:val="single" w:color="000000" w:sz="4" w:space="0"/>
            </w:tcBorders>
            <w:shd w:val="clear" w:color="auto" w:fill="E8E8E8"/>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规费合计</w:t>
            </w:r>
          </w:p>
        </w:tc>
        <w:tc>
          <w:tcPr>
            <w:tcW w:w="518" w:type="pct"/>
            <w:vMerge w:val="continue"/>
            <w:tcBorders>
              <w:top w:val="single" w:color="000000" w:sz="4" w:space="0"/>
              <w:left w:val="single" w:color="000000" w:sz="4" w:space="0"/>
              <w:bottom w:val="single" w:color="000000" w:sz="4" w:space="0"/>
              <w:right w:val="single" w:color="000000" w:sz="4" w:space="0"/>
            </w:tcBorders>
            <w:shd w:val="clear" w:color="auto" w:fill="E8E8E8"/>
            <w:vAlign w:val="center"/>
          </w:tcPr>
          <w:p>
            <w:pPr>
              <w:jc w:val="center"/>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2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c>
          <w:tcPr>
            <w:tcW w:w="394" w:type="pct"/>
            <w:tcBorders>
              <w:top w:val="single" w:color="auto" w:sz="4" w:space="0"/>
              <w:left w:val="single" w:color="auto" w:sz="4" w:space="0"/>
              <w:bottom w:val="single" w:color="auto" w:sz="4" w:space="0"/>
              <w:right w:val="single" w:color="auto" w:sz="4" w:space="0"/>
            </w:tcBorders>
            <w:shd w:val="clear" w:color="auto" w:fill="FFFFF0"/>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c>
          <w:tcPr>
            <w:tcW w:w="1025" w:type="pct"/>
            <w:tcBorders>
              <w:top w:val="single" w:color="000000" w:sz="4" w:space="0"/>
              <w:left w:val="single" w:color="auto" w:sz="4" w:space="0"/>
              <w:bottom w:val="single" w:color="000000" w:sz="4" w:space="0"/>
              <w:right w:val="single" w:color="000000" w:sz="4" w:space="0"/>
            </w:tcBorders>
            <w:shd w:val="clear" w:color="auto" w:fill="FFFFF0"/>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红谷滩慈善总会办公用房提升改造项目</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514028.51</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411977.84</w:t>
            </w:r>
          </w:p>
        </w:tc>
        <w:tc>
          <w:tcPr>
            <w:tcW w:w="591"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9476.32</w:t>
            </w:r>
          </w:p>
        </w:tc>
        <w:tc>
          <w:tcPr>
            <w:tcW w:w="596"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53498.32</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12467.42</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36084.93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19" w:type="pct"/>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c>
          <w:tcPr>
            <w:tcW w:w="394" w:type="pct"/>
            <w:tcBorders>
              <w:top w:val="single" w:color="auto"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1.1</w:t>
            </w:r>
          </w:p>
        </w:tc>
        <w:tc>
          <w:tcPr>
            <w:tcW w:w="1025"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建筑装饰工程</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140703.02</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113146.54</w:t>
            </w:r>
          </w:p>
        </w:tc>
        <w:tc>
          <w:tcPr>
            <w:tcW w:w="591"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3392.93</w:t>
            </w:r>
          </w:p>
        </w:tc>
        <w:tc>
          <w:tcPr>
            <w:tcW w:w="596"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12288.1</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3650.7</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11617.68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w:t>
            </w:r>
          </w:p>
        </w:tc>
        <w:tc>
          <w:tcPr>
            <w:tcW w:w="394"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1.2</w:t>
            </w:r>
          </w:p>
        </w:tc>
        <w:tc>
          <w:tcPr>
            <w:tcW w:w="1025"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水电安装工程</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55525.09</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46039.79</w:t>
            </w:r>
          </w:p>
        </w:tc>
        <w:tc>
          <w:tcPr>
            <w:tcW w:w="591"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1667.91</w:t>
            </w:r>
          </w:p>
        </w:tc>
        <w:tc>
          <w:tcPr>
            <w:tcW w:w="596"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2693.61</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2207.05</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4584.64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w:t>
            </w:r>
          </w:p>
        </w:tc>
        <w:tc>
          <w:tcPr>
            <w:tcW w:w="394"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1.3</w:t>
            </w:r>
          </w:p>
        </w:tc>
        <w:tc>
          <w:tcPr>
            <w:tcW w:w="1025"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家具工程</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77000</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77000</w:t>
            </w:r>
          </w:p>
        </w:tc>
        <w:tc>
          <w:tcPr>
            <w:tcW w:w="591"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0</w:t>
            </w:r>
          </w:p>
        </w:tc>
        <w:tc>
          <w:tcPr>
            <w:tcW w:w="596"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0</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0</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w:t>
            </w:r>
          </w:p>
        </w:tc>
        <w:tc>
          <w:tcPr>
            <w:tcW w:w="394"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1.4</w:t>
            </w:r>
          </w:p>
        </w:tc>
        <w:tc>
          <w:tcPr>
            <w:tcW w:w="1025"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拆除工程</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37380.42</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20581.59</w:t>
            </w:r>
          </w:p>
        </w:tc>
        <w:tc>
          <w:tcPr>
            <w:tcW w:w="591"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1992.64</w:t>
            </w:r>
          </w:p>
        </w:tc>
        <w:tc>
          <w:tcPr>
            <w:tcW w:w="596"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10795.62</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2916.75</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3086.46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6</w:t>
            </w:r>
          </w:p>
        </w:tc>
        <w:tc>
          <w:tcPr>
            <w:tcW w:w="394"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1.5</w:t>
            </w:r>
          </w:p>
        </w:tc>
        <w:tc>
          <w:tcPr>
            <w:tcW w:w="1025"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主体新建项目</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68144.08</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50381.02</w:t>
            </w:r>
          </w:p>
        </w:tc>
        <w:tc>
          <w:tcPr>
            <w:tcW w:w="591"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1594.45</w:t>
            </w:r>
          </w:p>
        </w:tc>
        <w:tc>
          <w:tcPr>
            <w:tcW w:w="596"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10162.56</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1973.92</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5626.58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7</w:t>
            </w:r>
          </w:p>
        </w:tc>
        <w:tc>
          <w:tcPr>
            <w:tcW w:w="394"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1.6</w:t>
            </w:r>
          </w:p>
        </w:tc>
        <w:tc>
          <w:tcPr>
            <w:tcW w:w="1025"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门窗工程</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38055.86</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25411.34</w:t>
            </w:r>
          </w:p>
        </w:tc>
        <w:tc>
          <w:tcPr>
            <w:tcW w:w="591"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378.19</w:t>
            </w:r>
          </w:p>
        </w:tc>
        <w:tc>
          <w:tcPr>
            <w:tcW w:w="596"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8702.55</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799.74</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3142.23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8</w:t>
            </w:r>
          </w:p>
        </w:tc>
        <w:tc>
          <w:tcPr>
            <w:tcW w:w="394"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1.7</w:t>
            </w:r>
          </w:p>
        </w:tc>
        <w:tc>
          <w:tcPr>
            <w:tcW w:w="1025"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柜子工程</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61489.45</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47049.59</w:t>
            </w:r>
          </w:p>
        </w:tc>
        <w:tc>
          <w:tcPr>
            <w:tcW w:w="591"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311.39</w:t>
            </w:r>
          </w:p>
        </w:tc>
        <w:tc>
          <w:tcPr>
            <w:tcW w:w="596"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8623.12</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739.63</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5077.11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2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9</w:t>
            </w:r>
          </w:p>
        </w:tc>
        <w:tc>
          <w:tcPr>
            <w:tcW w:w="394"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1.8</w:t>
            </w:r>
          </w:p>
        </w:tc>
        <w:tc>
          <w:tcPr>
            <w:tcW w:w="1025"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空调工程</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35730.59</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32367.97</w:t>
            </w:r>
          </w:p>
        </w:tc>
        <w:tc>
          <w:tcPr>
            <w:tcW w:w="591"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138.81</w:t>
            </w:r>
          </w:p>
        </w:tc>
        <w:tc>
          <w:tcPr>
            <w:tcW w:w="596"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232.76</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179.63</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2950.23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2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10</w:t>
            </w:r>
          </w:p>
        </w:tc>
        <w:tc>
          <w:tcPr>
            <w:tcW w:w="394" w:type="pct"/>
            <w:tcBorders>
              <w:top w:val="single" w:color="000000" w:sz="4" w:space="0"/>
              <w:left w:val="single" w:color="000000" w:sz="4" w:space="0"/>
              <w:bottom w:val="single" w:color="000000" w:sz="4" w:space="0"/>
              <w:right w:val="single" w:color="000000" w:sz="4" w:space="0"/>
            </w:tcBorders>
            <w:shd w:val="clear" w:color="auto" w:fill="FFFFF0"/>
            <w:vAlign w:val="center"/>
          </w:tcPr>
          <w:p>
            <w:pPr>
              <w:jc w:val="both"/>
              <w:rPr>
                <w:rFonts w:hint="eastAsia" w:ascii="宋体" w:hAnsi="宋体" w:eastAsia="宋体" w:cs="宋体"/>
                <w:i w:val="0"/>
                <w:iCs w:val="0"/>
                <w:color w:val="auto"/>
                <w:sz w:val="18"/>
                <w:szCs w:val="18"/>
                <w:highlight w:val="none"/>
                <w:u w:val="none"/>
              </w:rPr>
            </w:pPr>
          </w:p>
        </w:tc>
        <w:tc>
          <w:tcPr>
            <w:tcW w:w="1025" w:type="pct"/>
            <w:tcBorders>
              <w:top w:val="single" w:color="000000" w:sz="4" w:space="0"/>
              <w:left w:val="single" w:color="000000" w:sz="4" w:space="0"/>
              <w:bottom w:val="single" w:color="000000" w:sz="4" w:space="0"/>
              <w:right w:val="single" w:color="000000" w:sz="4" w:space="0"/>
            </w:tcBorders>
            <w:shd w:val="clear" w:color="auto" w:fill="FFFFF0"/>
            <w:vAlign w:val="center"/>
          </w:tcPr>
          <w:p>
            <w:pPr>
              <w:jc w:val="left"/>
              <w:rPr>
                <w:rFonts w:hint="eastAsia" w:ascii="宋体" w:hAnsi="宋体" w:eastAsia="宋体" w:cs="宋体"/>
                <w:i w:val="0"/>
                <w:iCs w:val="0"/>
                <w:color w:val="auto"/>
                <w:sz w:val="18"/>
                <w:szCs w:val="18"/>
                <w:highlight w:val="none"/>
                <w:u w:val="none"/>
              </w:rPr>
            </w:pP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jc w:val="right"/>
              <w:rPr>
                <w:rFonts w:hint="eastAsia" w:ascii="宋体" w:hAnsi="宋体" w:eastAsia="宋体" w:cs="宋体"/>
                <w:i w:val="0"/>
                <w:iCs w:val="0"/>
                <w:color w:val="auto"/>
                <w:sz w:val="18"/>
                <w:szCs w:val="18"/>
                <w:highlight w:val="none"/>
                <w:u w:val="none"/>
              </w:rPr>
            </w:pP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jc w:val="right"/>
              <w:rPr>
                <w:rFonts w:hint="eastAsia" w:ascii="宋体" w:hAnsi="宋体" w:eastAsia="宋体" w:cs="宋体"/>
                <w:i w:val="0"/>
                <w:iCs w:val="0"/>
                <w:color w:val="auto"/>
                <w:sz w:val="18"/>
                <w:szCs w:val="18"/>
                <w:highlight w:val="none"/>
                <w:u w:val="none"/>
              </w:rPr>
            </w:pPr>
          </w:p>
        </w:tc>
        <w:tc>
          <w:tcPr>
            <w:tcW w:w="591" w:type="pct"/>
            <w:tcBorders>
              <w:top w:val="single" w:color="000000" w:sz="4" w:space="0"/>
              <w:left w:val="single" w:color="000000" w:sz="4" w:space="0"/>
              <w:bottom w:val="single" w:color="000000" w:sz="4" w:space="0"/>
              <w:right w:val="single" w:color="000000" w:sz="4" w:space="0"/>
            </w:tcBorders>
            <w:shd w:val="clear" w:color="auto" w:fill="FFFFF0"/>
            <w:vAlign w:val="center"/>
          </w:tcPr>
          <w:p>
            <w:pPr>
              <w:jc w:val="right"/>
              <w:rPr>
                <w:rFonts w:hint="eastAsia" w:ascii="宋体" w:hAnsi="宋体" w:eastAsia="宋体" w:cs="宋体"/>
                <w:i w:val="0"/>
                <w:iCs w:val="0"/>
                <w:color w:val="auto"/>
                <w:sz w:val="18"/>
                <w:szCs w:val="18"/>
                <w:highlight w:val="none"/>
                <w:u w:val="none"/>
              </w:rPr>
            </w:pPr>
          </w:p>
        </w:tc>
        <w:tc>
          <w:tcPr>
            <w:tcW w:w="596" w:type="pct"/>
            <w:tcBorders>
              <w:top w:val="single" w:color="000000" w:sz="4" w:space="0"/>
              <w:left w:val="single" w:color="000000" w:sz="4" w:space="0"/>
              <w:bottom w:val="single" w:color="000000" w:sz="4" w:space="0"/>
              <w:right w:val="single" w:color="000000" w:sz="4" w:space="0"/>
            </w:tcBorders>
            <w:shd w:val="clear" w:color="auto" w:fill="FFFFF0"/>
            <w:vAlign w:val="center"/>
          </w:tcPr>
          <w:p>
            <w:pPr>
              <w:jc w:val="right"/>
              <w:rPr>
                <w:rFonts w:hint="eastAsia" w:ascii="宋体" w:hAnsi="宋体" w:eastAsia="宋体" w:cs="宋体"/>
                <w:i w:val="0"/>
                <w:iCs w:val="0"/>
                <w:color w:val="auto"/>
                <w:sz w:val="18"/>
                <w:szCs w:val="18"/>
                <w:highlight w:val="none"/>
                <w:u w:val="none"/>
              </w:rPr>
            </w:pP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jc w:val="right"/>
              <w:rPr>
                <w:rFonts w:hint="eastAsia" w:ascii="宋体" w:hAnsi="宋体" w:eastAsia="宋体" w:cs="宋体"/>
                <w:i w:val="0"/>
                <w:iCs w:val="0"/>
                <w:color w:val="auto"/>
                <w:sz w:val="18"/>
                <w:szCs w:val="18"/>
                <w:highlight w:val="none"/>
                <w:u w:val="none"/>
              </w:rPr>
            </w:pP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jc w:val="righ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2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11</w:t>
            </w:r>
          </w:p>
        </w:tc>
        <w:tc>
          <w:tcPr>
            <w:tcW w:w="394" w:type="pct"/>
            <w:tcBorders>
              <w:top w:val="single" w:color="000000" w:sz="4" w:space="0"/>
              <w:left w:val="single" w:color="000000" w:sz="4" w:space="0"/>
              <w:bottom w:val="single" w:color="000000" w:sz="4" w:space="0"/>
              <w:right w:val="single" w:color="000000" w:sz="4" w:space="0"/>
            </w:tcBorders>
            <w:shd w:val="clear" w:color="auto" w:fill="FFFFF0"/>
            <w:vAlign w:val="center"/>
          </w:tcPr>
          <w:p>
            <w:pPr>
              <w:jc w:val="both"/>
              <w:rPr>
                <w:rFonts w:hint="eastAsia" w:ascii="宋体" w:hAnsi="宋体" w:eastAsia="宋体" w:cs="宋体"/>
                <w:i w:val="0"/>
                <w:iCs w:val="0"/>
                <w:color w:val="auto"/>
                <w:sz w:val="18"/>
                <w:szCs w:val="18"/>
                <w:highlight w:val="none"/>
                <w:u w:val="none"/>
              </w:rPr>
            </w:pPr>
          </w:p>
        </w:tc>
        <w:tc>
          <w:tcPr>
            <w:tcW w:w="1025"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合计</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514028.51</w:t>
            </w:r>
          </w:p>
        </w:tc>
        <w:tc>
          <w:tcPr>
            <w:tcW w:w="56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411977.84</w:t>
            </w:r>
          </w:p>
        </w:tc>
        <w:tc>
          <w:tcPr>
            <w:tcW w:w="591"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9476.32</w:t>
            </w:r>
          </w:p>
        </w:tc>
        <w:tc>
          <w:tcPr>
            <w:tcW w:w="596"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53498.32</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12467.42</w:t>
            </w:r>
          </w:p>
        </w:tc>
        <w:tc>
          <w:tcPr>
            <w:tcW w:w="518" w:type="pct"/>
            <w:tcBorders>
              <w:top w:val="single" w:color="000000" w:sz="4" w:space="0"/>
              <w:left w:val="single" w:color="000000" w:sz="4" w:space="0"/>
              <w:bottom w:val="single" w:color="000000" w:sz="4" w:space="0"/>
              <w:right w:val="single" w:color="000000" w:sz="4" w:space="0"/>
            </w:tcBorders>
            <w:shd w:val="clear" w:color="auto" w:fill="FFFFF0"/>
            <w:vAlign w:val="center"/>
          </w:tcPr>
          <w:p>
            <w:pPr>
              <w:keepNext w:val="0"/>
              <w:keepLines w:val="0"/>
              <w:widowControl/>
              <w:suppressLineNumbers w:val="0"/>
              <w:jc w:val="righ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36084.93</w:t>
            </w:r>
          </w:p>
        </w:tc>
      </w:tr>
    </w:tbl>
    <w:p>
      <w:pPr>
        <w:pStyle w:val="2"/>
        <w:ind w:left="0" w:leftChars="0" w:firstLine="0" w:firstLineChars="0"/>
        <w:rPr>
          <w:rFonts w:hint="eastAsia"/>
          <w:color w:val="auto"/>
          <w:highlight w:val="none"/>
          <w:lang w:eastAsia="zh-CN"/>
        </w:rPr>
      </w:pPr>
    </w:p>
    <w:p>
      <w:pPr>
        <w:pStyle w:val="2"/>
        <w:ind w:left="0" w:leftChars="0" w:firstLine="0" w:firstLineChars="0"/>
        <w:rPr>
          <w:rFonts w:hint="eastAsia"/>
          <w:color w:val="auto"/>
          <w:highlight w:val="none"/>
          <w:lang w:eastAsia="zh-CN"/>
        </w:rPr>
      </w:pPr>
      <w:r>
        <w:rPr>
          <w:rFonts w:hint="eastAsia"/>
          <w:color w:val="auto"/>
          <w:highlight w:val="none"/>
          <w:lang w:eastAsia="zh-CN"/>
        </w:rPr>
        <w:drawing>
          <wp:inline distT="0" distB="0" distL="114300" distR="114300">
            <wp:extent cx="5596890" cy="7898130"/>
            <wp:effectExtent l="0" t="0" r="3810" b="7620"/>
            <wp:docPr id="75" name="图片 75" descr="红谷滩慈善总会办公用房提升改造项目(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红谷滩慈善总会办公用房提升改造项目(1)_01"/>
                    <pic:cNvPicPr>
                      <a:picLocks noChangeAspect="1"/>
                    </pic:cNvPicPr>
                  </pic:nvPicPr>
                  <pic:blipFill>
                    <a:blip r:embed="rId8"/>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74" name="图片 74" descr="红谷滩慈善总会办公用房提升改造项目(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红谷滩慈善总会办公用房提升改造项目(1)_02"/>
                    <pic:cNvPicPr>
                      <a:picLocks noChangeAspect="1"/>
                    </pic:cNvPicPr>
                  </pic:nvPicPr>
                  <pic:blipFill>
                    <a:blip r:embed="rId9"/>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73" name="图片 73" descr="红谷滩慈善总会办公用房提升改造项目(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红谷滩慈善总会办公用房提升改造项目(1)_03"/>
                    <pic:cNvPicPr>
                      <a:picLocks noChangeAspect="1"/>
                    </pic:cNvPicPr>
                  </pic:nvPicPr>
                  <pic:blipFill>
                    <a:blip r:embed="rId10"/>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72" name="图片 72" descr="红谷滩慈善总会办公用房提升改造项目(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红谷滩慈善总会办公用房提升改造项目(1)_04"/>
                    <pic:cNvPicPr>
                      <a:picLocks noChangeAspect="1"/>
                    </pic:cNvPicPr>
                  </pic:nvPicPr>
                  <pic:blipFill>
                    <a:blip r:embed="rId11"/>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71" name="图片 71" descr="红谷滩慈善总会办公用房提升改造项目(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红谷滩慈善总会办公用房提升改造项目(1)_05"/>
                    <pic:cNvPicPr>
                      <a:picLocks noChangeAspect="1"/>
                    </pic:cNvPicPr>
                  </pic:nvPicPr>
                  <pic:blipFill>
                    <a:blip r:embed="rId12"/>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70" name="图片 70" descr="红谷滩慈善总会办公用房提升改造项目(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红谷滩慈善总会办公用房提升改造项目(1)_06"/>
                    <pic:cNvPicPr>
                      <a:picLocks noChangeAspect="1"/>
                    </pic:cNvPicPr>
                  </pic:nvPicPr>
                  <pic:blipFill>
                    <a:blip r:embed="rId13"/>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69" name="图片 69" descr="红谷滩慈善总会办公用房提升改造项目(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红谷滩慈善总会办公用房提升改造项目(1)_07"/>
                    <pic:cNvPicPr>
                      <a:picLocks noChangeAspect="1"/>
                    </pic:cNvPicPr>
                  </pic:nvPicPr>
                  <pic:blipFill>
                    <a:blip r:embed="rId14"/>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68" name="图片 68" descr="红谷滩慈善总会办公用房提升改造项目(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红谷滩慈善总会办公用房提升改造项目(1)_08"/>
                    <pic:cNvPicPr>
                      <a:picLocks noChangeAspect="1"/>
                    </pic:cNvPicPr>
                  </pic:nvPicPr>
                  <pic:blipFill>
                    <a:blip r:embed="rId15"/>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67" name="图片 67" descr="红谷滩慈善总会办公用房提升改造项目(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红谷滩慈善总会办公用房提升改造项目(1)_09"/>
                    <pic:cNvPicPr>
                      <a:picLocks noChangeAspect="1"/>
                    </pic:cNvPicPr>
                  </pic:nvPicPr>
                  <pic:blipFill>
                    <a:blip r:embed="rId16"/>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66" name="图片 66" descr="红谷滩慈善总会办公用房提升改造项目(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红谷滩慈善总会办公用房提升改造项目(1)_10"/>
                    <pic:cNvPicPr>
                      <a:picLocks noChangeAspect="1"/>
                    </pic:cNvPicPr>
                  </pic:nvPicPr>
                  <pic:blipFill>
                    <a:blip r:embed="rId17"/>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65" name="图片 65" descr="红谷滩慈善总会办公用房提升改造项目(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红谷滩慈善总会办公用房提升改造项目(1)_11"/>
                    <pic:cNvPicPr>
                      <a:picLocks noChangeAspect="1"/>
                    </pic:cNvPicPr>
                  </pic:nvPicPr>
                  <pic:blipFill>
                    <a:blip r:embed="rId18"/>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64" name="图片 64" descr="红谷滩慈善总会办公用房提升改造项目(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红谷滩慈善总会办公用房提升改造项目(1)_12"/>
                    <pic:cNvPicPr>
                      <a:picLocks noChangeAspect="1"/>
                    </pic:cNvPicPr>
                  </pic:nvPicPr>
                  <pic:blipFill>
                    <a:blip r:embed="rId19"/>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63" name="图片 63" descr="红谷滩慈善总会办公用房提升改造项目(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红谷滩慈善总会办公用房提升改造项目(1)_13"/>
                    <pic:cNvPicPr>
                      <a:picLocks noChangeAspect="1"/>
                    </pic:cNvPicPr>
                  </pic:nvPicPr>
                  <pic:blipFill>
                    <a:blip r:embed="rId20"/>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62" name="图片 62" descr="红谷滩慈善总会办公用房提升改造项目(1)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红谷滩慈善总会办公用房提升改造项目(1)_14"/>
                    <pic:cNvPicPr>
                      <a:picLocks noChangeAspect="1"/>
                    </pic:cNvPicPr>
                  </pic:nvPicPr>
                  <pic:blipFill>
                    <a:blip r:embed="rId21"/>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61" name="图片 61" descr="红谷滩慈善总会办公用房提升改造项目(1)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红谷滩慈善总会办公用房提升改造项目(1)_15"/>
                    <pic:cNvPicPr>
                      <a:picLocks noChangeAspect="1"/>
                    </pic:cNvPicPr>
                  </pic:nvPicPr>
                  <pic:blipFill>
                    <a:blip r:embed="rId22"/>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60" name="图片 60" descr="红谷滩慈善总会办公用房提升改造项目(1)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红谷滩慈善总会办公用房提升改造项目(1)_16"/>
                    <pic:cNvPicPr>
                      <a:picLocks noChangeAspect="1"/>
                    </pic:cNvPicPr>
                  </pic:nvPicPr>
                  <pic:blipFill>
                    <a:blip r:embed="rId23"/>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59" name="图片 59" descr="红谷滩慈善总会办公用房提升改造项目(1)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红谷滩慈善总会办公用房提升改造项目(1)_17"/>
                    <pic:cNvPicPr>
                      <a:picLocks noChangeAspect="1"/>
                    </pic:cNvPicPr>
                  </pic:nvPicPr>
                  <pic:blipFill>
                    <a:blip r:embed="rId24"/>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58" name="图片 58" descr="红谷滩慈善总会办公用房提升改造项目(1)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红谷滩慈善总会办公用房提升改造项目(1)_18"/>
                    <pic:cNvPicPr>
                      <a:picLocks noChangeAspect="1"/>
                    </pic:cNvPicPr>
                  </pic:nvPicPr>
                  <pic:blipFill>
                    <a:blip r:embed="rId25"/>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57" name="图片 57" descr="红谷滩慈善总会办公用房提升改造项目(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红谷滩慈善总会办公用房提升改造项目(1)_19"/>
                    <pic:cNvPicPr>
                      <a:picLocks noChangeAspect="1"/>
                    </pic:cNvPicPr>
                  </pic:nvPicPr>
                  <pic:blipFill>
                    <a:blip r:embed="rId26"/>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56" name="图片 56" descr="红谷滩慈善总会办公用房提升改造项目(1)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红谷滩慈善总会办公用房提升改造项目(1)_20"/>
                    <pic:cNvPicPr>
                      <a:picLocks noChangeAspect="1"/>
                    </pic:cNvPicPr>
                  </pic:nvPicPr>
                  <pic:blipFill>
                    <a:blip r:embed="rId27"/>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55" name="图片 55" descr="红谷滩慈善总会办公用房提升改造项目(1)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红谷滩慈善总会办公用房提升改造项目(1)_21"/>
                    <pic:cNvPicPr>
                      <a:picLocks noChangeAspect="1"/>
                    </pic:cNvPicPr>
                  </pic:nvPicPr>
                  <pic:blipFill>
                    <a:blip r:embed="rId28"/>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54" name="图片 54" descr="红谷滩慈善总会办公用房提升改造项目(1)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红谷滩慈善总会办公用房提升改造项目(1)_22"/>
                    <pic:cNvPicPr>
                      <a:picLocks noChangeAspect="1"/>
                    </pic:cNvPicPr>
                  </pic:nvPicPr>
                  <pic:blipFill>
                    <a:blip r:embed="rId29"/>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53" name="图片 53" descr="红谷滩慈善总会办公用房提升改造项目(1)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红谷滩慈善总会办公用房提升改造项目(1)_23"/>
                    <pic:cNvPicPr>
                      <a:picLocks noChangeAspect="1"/>
                    </pic:cNvPicPr>
                  </pic:nvPicPr>
                  <pic:blipFill>
                    <a:blip r:embed="rId30"/>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52" name="图片 52" descr="红谷滩慈善总会办公用房提升改造项目(1)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红谷滩慈善总会办公用房提升改造项目(1)_24"/>
                    <pic:cNvPicPr>
                      <a:picLocks noChangeAspect="1"/>
                    </pic:cNvPicPr>
                  </pic:nvPicPr>
                  <pic:blipFill>
                    <a:blip r:embed="rId31"/>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51" name="图片 51" descr="红谷滩慈善总会办公用房提升改造项目(1)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红谷滩慈善总会办公用房提升改造项目(1)_25"/>
                    <pic:cNvPicPr>
                      <a:picLocks noChangeAspect="1"/>
                    </pic:cNvPicPr>
                  </pic:nvPicPr>
                  <pic:blipFill>
                    <a:blip r:embed="rId32"/>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50" name="图片 50" descr="红谷滩慈善总会办公用房提升改造项目(1)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红谷滩慈善总会办公用房提升改造项目(1)_26"/>
                    <pic:cNvPicPr>
                      <a:picLocks noChangeAspect="1"/>
                    </pic:cNvPicPr>
                  </pic:nvPicPr>
                  <pic:blipFill>
                    <a:blip r:embed="rId33"/>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49" name="图片 49" descr="红谷滩慈善总会办公用房提升改造项目(1)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红谷滩慈善总会办公用房提升改造项目(1)_27"/>
                    <pic:cNvPicPr>
                      <a:picLocks noChangeAspect="1"/>
                    </pic:cNvPicPr>
                  </pic:nvPicPr>
                  <pic:blipFill>
                    <a:blip r:embed="rId34"/>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48" name="图片 48" descr="红谷滩慈善总会办公用房提升改造项目(1)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红谷滩慈善总会办公用房提升改造项目(1)_28"/>
                    <pic:cNvPicPr>
                      <a:picLocks noChangeAspect="1"/>
                    </pic:cNvPicPr>
                  </pic:nvPicPr>
                  <pic:blipFill>
                    <a:blip r:embed="rId35"/>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47" name="图片 47" descr="红谷滩慈善总会办公用房提升改造项目(1)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红谷滩慈善总会办公用房提升改造项目(1)_29"/>
                    <pic:cNvPicPr>
                      <a:picLocks noChangeAspect="1"/>
                    </pic:cNvPicPr>
                  </pic:nvPicPr>
                  <pic:blipFill>
                    <a:blip r:embed="rId36"/>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46" name="图片 46" descr="红谷滩慈善总会办公用房提升改造项目(1)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红谷滩慈善总会办公用房提升改造项目(1)_30"/>
                    <pic:cNvPicPr>
                      <a:picLocks noChangeAspect="1"/>
                    </pic:cNvPicPr>
                  </pic:nvPicPr>
                  <pic:blipFill>
                    <a:blip r:embed="rId37"/>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45" name="图片 45" descr="红谷滩慈善总会办公用房提升改造项目(1)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红谷滩慈善总会办公用房提升改造项目(1)_31"/>
                    <pic:cNvPicPr>
                      <a:picLocks noChangeAspect="1"/>
                    </pic:cNvPicPr>
                  </pic:nvPicPr>
                  <pic:blipFill>
                    <a:blip r:embed="rId38"/>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44" name="图片 44" descr="红谷滩慈善总会办公用房提升改造项目(1)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红谷滩慈善总会办公用房提升改造项目(1)_32"/>
                    <pic:cNvPicPr>
                      <a:picLocks noChangeAspect="1"/>
                    </pic:cNvPicPr>
                  </pic:nvPicPr>
                  <pic:blipFill>
                    <a:blip r:embed="rId39"/>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43" name="图片 43" descr="红谷滩慈善总会办公用房提升改造项目(1)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红谷滩慈善总会办公用房提升改造项目(1)_33"/>
                    <pic:cNvPicPr>
                      <a:picLocks noChangeAspect="1"/>
                    </pic:cNvPicPr>
                  </pic:nvPicPr>
                  <pic:blipFill>
                    <a:blip r:embed="rId40"/>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42" name="图片 42" descr="红谷滩慈善总会办公用房提升改造项目(1)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红谷滩慈善总会办公用房提升改造项目(1)_34"/>
                    <pic:cNvPicPr>
                      <a:picLocks noChangeAspect="1"/>
                    </pic:cNvPicPr>
                  </pic:nvPicPr>
                  <pic:blipFill>
                    <a:blip r:embed="rId41"/>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41" name="图片 41" descr="红谷滩慈善总会办公用房提升改造项目(1)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红谷滩慈善总会办公用房提升改造项目(1)_35"/>
                    <pic:cNvPicPr>
                      <a:picLocks noChangeAspect="1"/>
                    </pic:cNvPicPr>
                  </pic:nvPicPr>
                  <pic:blipFill>
                    <a:blip r:embed="rId42"/>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40" name="图片 40" descr="红谷滩慈善总会办公用房提升改造项目(1)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红谷滩慈善总会办公用房提升改造项目(1)_36"/>
                    <pic:cNvPicPr>
                      <a:picLocks noChangeAspect="1"/>
                    </pic:cNvPicPr>
                  </pic:nvPicPr>
                  <pic:blipFill>
                    <a:blip r:embed="rId43"/>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39" name="图片 39" descr="红谷滩慈善总会办公用房提升改造项目(1)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红谷滩慈善总会办公用房提升改造项目(1)_37"/>
                    <pic:cNvPicPr>
                      <a:picLocks noChangeAspect="1"/>
                    </pic:cNvPicPr>
                  </pic:nvPicPr>
                  <pic:blipFill>
                    <a:blip r:embed="rId44"/>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38" name="图片 38" descr="红谷滩慈善总会办公用房提升改造项目(1)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红谷滩慈善总会办公用房提升改造项目(1)_38"/>
                    <pic:cNvPicPr>
                      <a:picLocks noChangeAspect="1"/>
                    </pic:cNvPicPr>
                  </pic:nvPicPr>
                  <pic:blipFill>
                    <a:blip r:embed="rId45"/>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37" name="图片 37" descr="红谷滩慈善总会办公用房提升改造项目(1)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红谷滩慈善总会办公用房提升改造项目(1)_39"/>
                    <pic:cNvPicPr>
                      <a:picLocks noChangeAspect="1"/>
                    </pic:cNvPicPr>
                  </pic:nvPicPr>
                  <pic:blipFill>
                    <a:blip r:embed="rId46"/>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36" name="图片 36" descr="红谷滩慈善总会办公用房提升改造项目(1)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红谷滩慈善总会办公用房提升改造项目(1)_40"/>
                    <pic:cNvPicPr>
                      <a:picLocks noChangeAspect="1"/>
                    </pic:cNvPicPr>
                  </pic:nvPicPr>
                  <pic:blipFill>
                    <a:blip r:embed="rId47"/>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35" name="图片 35" descr="红谷滩慈善总会办公用房提升改造项目(1)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红谷滩慈善总会办公用房提升改造项目(1)_41"/>
                    <pic:cNvPicPr>
                      <a:picLocks noChangeAspect="1"/>
                    </pic:cNvPicPr>
                  </pic:nvPicPr>
                  <pic:blipFill>
                    <a:blip r:embed="rId48"/>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34" name="图片 34" descr="红谷滩慈善总会办公用房提升改造项目(1)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红谷滩慈善总会办公用房提升改造项目(1)_42"/>
                    <pic:cNvPicPr>
                      <a:picLocks noChangeAspect="1"/>
                    </pic:cNvPicPr>
                  </pic:nvPicPr>
                  <pic:blipFill>
                    <a:blip r:embed="rId49"/>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33" name="图片 33" descr="红谷滩慈善总会办公用房提升改造项目(1)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红谷滩慈善总会办公用房提升改造项目(1)_43"/>
                    <pic:cNvPicPr>
                      <a:picLocks noChangeAspect="1"/>
                    </pic:cNvPicPr>
                  </pic:nvPicPr>
                  <pic:blipFill>
                    <a:blip r:embed="rId50"/>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32" name="图片 32" descr="红谷滩慈善总会办公用房提升改造项目(1)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红谷滩慈善总会办公用房提升改造项目(1)_44"/>
                    <pic:cNvPicPr>
                      <a:picLocks noChangeAspect="1"/>
                    </pic:cNvPicPr>
                  </pic:nvPicPr>
                  <pic:blipFill>
                    <a:blip r:embed="rId51"/>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31" name="图片 31" descr="红谷滩慈善总会办公用房提升改造项目(1)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红谷滩慈善总会办公用房提升改造项目(1)_45"/>
                    <pic:cNvPicPr>
                      <a:picLocks noChangeAspect="1"/>
                    </pic:cNvPicPr>
                  </pic:nvPicPr>
                  <pic:blipFill>
                    <a:blip r:embed="rId52"/>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30" name="图片 30" descr="红谷滩慈善总会办公用房提升改造项目(1)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红谷滩慈善总会办公用房提升改造项目(1)_46"/>
                    <pic:cNvPicPr>
                      <a:picLocks noChangeAspect="1"/>
                    </pic:cNvPicPr>
                  </pic:nvPicPr>
                  <pic:blipFill>
                    <a:blip r:embed="rId53"/>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29" name="图片 29" descr="红谷滩慈善总会办公用房提升改造项目(1)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红谷滩慈善总会办公用房提升改造项目(1)_47"/>
                    <pic:cNvPicPr>
                      <a:picLocks noChangeAspect="1"/>
                    </pic:cNvPicPr>
                  </pic:nvPicPr>
                  <pic:blipFill>
                    <a:blip r:embed="rId54"/>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28" name="图片 28" descr="红谷滩慈善总会办公用房提升改造项目(1)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红谷滩慈善总会办公用房提升改造项目(1)_48"/>
                    <pic:cNvPicPr>
                      <a:picLocks noChangeAspect="1"/>
                    </pic:cNvPicPr>
                  </pic:nvPicPr>
                  <pic:blipFill>
                    <a:blip r:embed="rId55"/>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27" name="图片 27" descr="红谷滩慈善总会办公用房提升改造项目(1)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红谷滩慈善总会办公用房提升改造项目(1)_49"/>
                    <pic:cNvPicPr>
                      <a:picLocks noChangeAspect="1"/>
                    </pic:cNvPicPr>
                  </pic:nvPicPr>
                  <pic:blipFill>
                    <a:blip r:embed="rId56"/>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26" name="图片 26" descr="红谷滩慈善总会办公用房提升改造项目(1)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红谷滩慈善总会办公用房提升改造项目(1)_50"/>
                    <pic:cNvPicPr>
                      <a:picLocks noChangeAspect="1"/>
                    </pic:cNvPicPr>
                  </pic:nvPicPr>
                  <pic:blipFill>
                    <a:blip r:embed="rId57"/>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25" name="图片 25" descr="红谷滩慈善总会办公用房提升改造项目(1)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红谷滩慈善总会办公用房提升改造项目(1)_51"/>
                    <pic:cNvPicPr>
                      <a:picLocks noChangeAspect="1"/>
                    </pic:cNvPicPr>
                  </pic:nvPicPr>
                  <pic:blipFill>
                    <a:blip r:embed="rId58"/>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24" name="图片 24" descr="红谷滩慈善总会办公用房提升改造项目(1)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红谷滩慈善总会办公用房提升改造项目(1)_52"/>
                    <pic:cNvPicPr>
                      <a:picLocks noChangeAspect="1"/>
                    </pic:cNvPicPr>
                  </pic:nvPicPr>
                  <pic:blipFill>
                    <a:blip r:embed="rId59"/>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23" name="图片 23" descr="红谷滩慈善总会办公用房提升改造项目(1)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红谷滩慈善总会办公用房提升改造项目(1)_53"/>
                    <pic:cNvPicPr>
                      <a:picLocks noChangeAspect="1"/>
                    </pic:cNvPicPr>
                  </pic:nvPicPr>
                  <pic:blipFill>
                    <a:blip r:embed="rId60"/>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22" name="图片 22" descr="红谷滩慈善总会办公用房提升改造项目(1)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红谷滩慈善总会办公用房提升改造项目(1)_54"/>
                    <pic:cNvPicPr>
                      <a:picLocks noChangeAspect="1"/>
                    </pic:cNvPicPr>
                  </pic:nvPicPr>
                  <pic:blipFill>
                    <a:blip r:embed="rId61"/>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21" name="图片 21" descr="红谷滩慈善总会办公用房提升改造项目(1)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红谷滩慈善总会办公用房提升改造项目(1)_55"/>
                    <pic:cNvPicPr>
                      <a:picLocks noChangeAspect="1"/>
                    </pic:cNvPicPr>
                  </pic:nvPicPr>
                  <pic:blipFill>
                    <a:blip r:embed="rId62"/>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20" name="图片 20" descr="红谷滩慈善总会办公用房提升改造项目(1)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红谷滩慈善总会办公用房提升改造项目(1)_56"/>
                    <pic:cNvPicPr>
                      <a:picLocks noChangeAspect="1"/>
                    </pic:cNvPicPr>
                  </pic:nvPicPr>
                  <pic:blipFill>
                    <a:blip r:embed="rId63"/>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19" name="图片 19" descr="红谷滩慈善总会办公用房提升改造项目(1)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红谷滩慈善总会办公用房提升改造项目(1)_57"/>
                    <pic:cNvPicPr>
                      <a:picLocks noChangeAspect="1"/>
                    </pic:cNvPicPr>
                  </pic:nvPicPr>
                  <pic:blipFill>
                    <a:blip r:embed="rId64"/>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18" name="图片 18" descr="红谷滩慈善总会办公用房提升改造项目(1)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红谷滩慈善总会办公用房提升改造项目(1)_58"/>
                    <pic:cNvPicPr>
                      <a:picLocks noChangeAspect="1"/>
                    </pic:cNvPicPr>
                  </pic:nvPicPr>
                  <pic:blipFill>
                    <a:blip r:embed="rId65"/>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17" name="图片 17" descr="红谷滩慈善总会办公用房提升改造项目(1)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红谷滩慈善总会办公用房提升改造项目(1)_59"/>
                    <pic:cNvPicPr>
                      <a:picLocks noChangeAspect="1"/>
                    </pic:cNvPicPr>
                  </pic:nvPicPr>
                  <pic:blipFill>
                    <a:blip r:embed="rId66"/>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16" name="图片 16" descr="红谷滩慈善总会办公用房提升改造项目(1)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红谷滩慈善总会办公用房提升改造项目(1)_60"/>
                    <pic:cNvPicPr>
                      <a:picLocks noChangeAspect="1"/>
                    </pic:cNvPicPr>
                  </pic:nvPicPr>
                  <pic:blipFill>
                    <a:blip r:embed="rId67"/>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15" name="图片 15" descr="红谷滩慈善总会办公用房提升改造项目(1)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红谷滩慈善总会办公用房提升改造项目(1)_61"/>
                    <pic:cNvPicPr>
                      <a:picLocks noChangeAspect="1"/>
                    </pic:cNvPicPr>
                  </pic:nvPicPr>
                  <pic:blipFill>
                    <a:blip r:embed="rId68"/>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14" name="图片 14" descr="红谷滩慈善总会办公用房提升改造项目(1)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红谷滩慈善总会办公用房提升改造项目(1)_62"/>
                    <pic:cNvPicPr>
                      <a:picLocks noChangeAspect="1"/>
                    </pic:cNvPicPr>
                  </pic:nvPicPr>
                  <pic:blipFill>
                    <a:blip r:embed="rId69"/>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13" name="图片 13" descr="红谷滩慈善总会办公用房提升改造项目(1)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红谷滩慈善总会办公用房提升改造项目(1)_63"/>
                    <pic:cNvPicPr>
                      <a:picLocks noChangeAspect="1"/>
                    </pic:cNvPicPr>
                  </pic:nvPicPr>
                  <pic:blipFill>
                    <a:blip r:embed="rId70"/>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12" name="图片 12" descr="红谷滩慈善总会办公用房提升改造项目(1)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红谷滩慈善总会办公用房提升改造项目(1)_64"/>
                    <pic:cNvPicPr>
                      <a:picLocks noChangeAspect="1"/>
                    </pic:cNvPicPr>
                  </pic:nvPicPr>
                  <pic:blipFill>
                    <a:blip r:embed="rId71"/>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11" name="图片 11" descr="红谷滩慈善总会办公用房提升改造项目(1)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红谷滩慈善总会办公用房提升改造项目(1)_65"/>
                    <pic:cNvPicPr>
                      <a:picLocks noChangeAspect="1"/>
                    </pic:cNvPicPr>
                  </pic:nvPicPr>
                  <pic:blipFill>
                    <a:blip r:embed="rId72"/>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10" name="图片 10" descr="红谷滩慈善总会办公用房提升改造项目(1)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红谷滩慈善总会办公用房提升改造项目(1)_66"/>
                    <pic:cNvPicPr>
                      <a:picLocks noChangeAspect="1"/>
                    </pic:cNvPicPr>
                  </pic:nvPicPr>
                  <pic:blipFill>
                    <a:blip r:embed="rId73"/>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9" name="图片 9" descr="红谷滩慈善总会办公用房提升改造项目(1)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红谷滩慈善总会办公用房提升改造项目(1)_67"/>
                    <pic:cNvPicPr>
                      <a:picLocks noChangeAspect="1"/>
                    </pic:cNvPicPr>
                  </pic:nvPicPr>
                  <pic:blipFill>
                    <a:blip r:embed="rId74"/>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8" name="图片 8" descr="红谷滩慈善总会办公用房提升改造项目(1)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红谷滩慈善总会办公用房提升改造项目(1)_68"/>
                    <pic:cNvPicPr>
                      <a:picLocks noChangeAspect="1"/>
                    </pic:cNvPicPr>
                  </pic:nvPicPr>
                  <pic:blipFill>
                    <a:blip r:embed="rId75"/>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7" name="图片 7" descr="红谷滩慈善总会办公用房提升改造项目(1)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红谷滩慈善总会办公用房提升改造项目(1)_69"/>
                    <pic:cNvPicPr>
                      <a:picLocks noChangeAspect="1"/>
                    </pic:cNvPicPr>
                  </pic:nvPicPr>
                  <pic:blipFill>
                    <a:blip r:embed="rId76"/>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6" name="图片 6" descr="红谷滩慈善总会办公用房提升改造项目(1)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红谷滩慈善总会办公用房提升改造项目(1)_70"/>
                    <pic:cNvPicPr>
                      <a:picLocks noChangeAspect="1"/>
                    </pic:cNvPicPr>
                  </pic:nvPicPr>
                  <pic:blipFill>
                    <a:blip r:embed="rId77"/>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5" name="图片 5" descr="红谷滩慈善总会办公用房提升改造项目(1)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红谷滩慈善总会办公用房提升改造项目(1)_71"/>
                    <pic:cNvPicPr>
                      <a:picLocks noChangeAspect="1"/>
                    </pic:cNvPicPr>
                  </pic:nvPicPr>
                  <pic:blipFill>
                    <a:blip r:embed="rId78"/>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4" name="图片 4" descr="红谷滩慈善总会办公用房提升改造项目(1)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红谷滩慈善总会办公用房提升改造项目(1)_72"/>
                    <pic:cNvPicPr>
                      <a:picLocks noChangeAspect="1"/>
                    </pic:cNvPicPr>
                  </pic:nvPicPr>
                  <pic:blipFill>
                    <a:blip r:embed="rId79"/>
                    <a:stretch>
                      <a:fillRect/>
                    </a:stretch>
                  </pic:blipFill>
                  <pic:spPr>
                    <a:xfrm>
                      <a:off x="0" y="0"/>
                      <a:ext cx="5596890" cy="7898130"/>
                    </a:xfrm>
                    <a:prstGeom prst="rect">
                      <a:avLst/>
                    </a:prstGeom>
                  </pic:spPr>
                </pic:pic>
              </a:graphicData>
            </a:graphic>
          </wp:inline>
        </w:drawing>
      </w:r>
      <w:r>
        <w:rPr>
          <w:rFonts w:hint="eastAsia"/>
          <w:color w:val="auto"/>
          <w:highlight w:val="none"/>
          <w:lang w:eastAsia="zh-CN"/>
        </w:rPr>
        <w:drawing>
          <wp:inline distT="0" distB="0" distL="114300" distR="114300">
            <wp:extent cx="5596890" cy="7898130"/>
            <wp:effectExtent l="0" t="0" r="3810" b="7620"/>
            <wp:docPr id="3" name="图片 3" descr="红谷滩慈善总会办公用房提升改造项目(1)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红谷滩慈善总会办公用房提升改造项目(1)_73"/>
                    <pic:cNvPicPr>
                      <a:picLocks noChangeAspect="1"/>
                    </pic:cNvPicPr>
                  </pic:nvPicPr>
                  <pic:blipFill>
                    <a:blip r:embed="rId80"/>
                    <a:stretch>
                      <a:fillRect/>
                    </a:stretch>
                  </pic:blipFill>
                  <pic:spPr>
                    <a:xfrm>
                      <a:off x="0" y="0"/>
                      <a:ext cx="5596890" cy="7898130"/>
                    </a:xfrm>
                    <a:prstGeom prst="rect">
                      <a:avLst/>
                    </a:prstGeom>
                  </pic:spPr>
                </pic:pic>
              </a:graphicData>
            </a:graphic>
          </wp:inline>
        </w:drawing>
      </w:r>
    </w:p>
    <w:p>
      <w:pPr>
        <w:pStyle w:val="2"/>
        <w:rPr>
          <w:rFonts w:hint="eastAsia" w:asciiTheme="minorEastAsia" w:hAnsiTheme="minorEastAsia" w:eastAsiaTheme="minorEastAsia"/>
          <w:color w:val="auto"/>
          <w:sz w:val="28"/>
          <w:szCs w:val="28"/>
          <w:highlight w:val="none"/>
        </w:rPr>
      </w:pPr>
    </w:p>
    <w:p>
      <w:pPr>
        <w:pStyle w:val="2"/>
        <w:rPr>
          <w:rFonts w:hint="eastAsia" w:asciiTheme="minorEastAsia" w:hAnsiTheme="minorEastAsia" w:eastAsiaTheme="minorEastAsia"/>
          <w:color w:val="auto"/>
          <w:sz w:val="28"/>
          <w:szCs w:val="28"/>
          <w:highlight w:val="none"/>
        </w:rPr>
      </w:pPr>
    </w:p>
    <w:p>
      <w:pPr>
        <w:spacing w:line="360" w:lineRule="auto"/>
        <w:rPr>
          <w:rFonts w:hint="eastAsia" w:ascii="仿宋_GB2312" w:eastAsia="仿宋_GB2312"/>
          <w:b/>
          <w:bCs/>
          <w:color w:val="auto"/>
          <w:sz w:val="32"/>
          <w:szCs w:val="32"/>
          <w:highlight w:val="none"/>
          <w:lang w:eastAsia="zh-CN"/>
        </w:rPr>
      </w:pPr>
      <w:r>
        <w:rPr>
          <w:rFonts w:hint="eastAsia" w:ascii="仿宋_GB2312" w:eastAsia="仿宋_GB2312"/>
          <w:b/>
          <w:bCs/>
          <w:color w:val="auto"/>
          <w:sz w:val="32"/>
          <w:szCs w:val="32"/>
          <w:highlight w:val="none"/>
        </w:rPr>
        <w:t>二、服务</w:t>
      </w:r>
      <w:r>
        <w:rPr>
          <w:rFonts w:hint="eastAsia" w:ascii="仿宋_GB2312" w:eastAsia="仿宋_GB2312"/>
          <w:b/>
          <w:bCs/>
          <w:color w:val="auto"/>
          <w:sz w:val="32"/>
          <w:szCs w:val="32"/>
          <w:highlight w:val="none"/>
          <w:lang w:eastAsia="zh-CN"/>
        </w:rPr>
        <w:t>需求</w:t>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t>1、项目规模：项目总投资60万元，建安费约51万元。</w:t>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t>2、项目内容：该提升改造项目总建筑面积约380㎡，主要内容包括办公区、会议室、接待室及相关配套功能用房提升改造，空调、智能化等配套设施改造及办公家具采购。</w:t>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t>3、本项目所需的所有设备及材料均由中标人提供，负责运输和安装，撤场时需进行垃圾清运。</w:t>
      </w:r>
    </w:p>
    <w:p>
      <w:pPr>
        <w:spacing w:line="360" w:lineRule="auto"/>
        <w:rPr>
          <w:rFonts w:ascii="仿宋_GB2312" w:eastAsia="仿宋_GB2312"/>
          <w:color w:val="auto"/>
          <w:sz w:val="32"/>
          <w:szCs w:val="32"/>
          <w:highlight w:val="none"/>
        </w:rPr>
      </w:pPr>
    </w:p>
    <w:p>
      <w:pPr>
        <w:spacing w:line="360" w:lineRule="auto"/>
        <w:rPr>
          <w:rFonts w:ascii="仿宋_GB2312" w:eastAsia="仿宋_GB2312"/>
          <w:color w:val="auto"/>
          <w:sz w:val="32"/>
          <w:szCs w:val="32"/>
          <w:highlight w:val="none"/>
        </w:rPr>
      </w:pPr>
      <w:r>
        <w:rPr>
          <w:rFonts w:hint="eastAsia" w:ascii="仿宋_GB2312" w:eastAsia="仿宋_GB2312"/>
          <w:b/>
          <w:bCs/>
          <w:color w:val="auto"/>
          <w:sz w:val="32"/>
          <w:szCs w:val="32"/>
          <w:highlight w:val="none"/>
        </w:rPr>
        <w:t>三、商务条款</w:t>
      </w:r>
    </w:p>
    <w:p>
      <w:pPr>
        <w:pStyle w:val="25"/>
        <w:spacing w:line="440" w:lineRule="exact"/>
        <w:ind w:firstLine="0"/>
        <w:rPr>
          <w:rFonts w:ascii="宋体" w:hAnsi="宋体" w:cs="宋体"/>
          <w:color w:val="auto"/>
          <w:sz w:val="28"/>
          <w:highlight w:val="none"/>
        </w:rPr>
      </w:pPr>
      <w:r>
        <w:rPr>
          <w:rFonts w:hint="eastAsia" w:ascii="宋体" w:hAnsi="宋体" w:cs="宋体"/>
          <w:b/>
          <w:bCs/>
          <w:color w:val="auto"/>
          <w:sz w:val="28"/>
          <w:highlight w:val="none"/>
        </w:rPr>
        <w:t>1、付款方式：</w:t>
      </w:r>
      <w:r>
        <w:rPr>
          <w:rFonts w:hint="eastAsia" w:ascii="宋体" w:hAnsi="宋体" w:cs="宋体"/>
          <w:color w:val="auto"/>
          <w:sz w:val="28"/>
          <w:highlight w:val="none"/>
          <w:lang w:eastAsia="zh-CN"/>
        </w:rPr>
        <w:t>以施工合同签订为准</w:t>
      </w:r>
      <w:r>
        <w:rPr>
          <w:rFonts w:hint="eastAsia" w:ascii="宋体" w:hAnsi="宋体" w:cs="宋体"/>
          <w:color w:val="auto"/>
          <w:sz w:val="28"/>
          <w:highlight w:val="none"/>
        </w:rPr>
        <w:t>。</w:t>
      </w:r>
    </w:p>
    <w:p>
      <w:pPr>
        <w:pStyle w:val="25"/>
        <w:spacing w:line="440" w:lineRule="exact"/>
        <w:ind w:firstLine="0"/>
        <w:rPr>
          <w:rFonts w:ascii="宋体" w:hAnsi="宋体" w:cs="宋体"/>
          <w:color w:val="auto"/>
          <w:sz w:val="28"/>
          <w:highlight w:val="none"/>
        </w:rPr>
      </w:pPr>
      <w:r>
        <w:rPr>
          <w:rFonts w:hint="eastAsia" w:ascii="宋体" w:hAnsi="宋体" w:cs="宋体"/>
          <w:b/>
          <w:bCs/>
          <w:color w:val="auto"/>
          <w:sz w:val="28"/>
          <w:highlight w:val="none"/>
        </w:rPr>
        <w:t>2、合同签订：</w:t>
      </w:r>
      <w:r>
        <w:rPr>
          <w:rFonts w:hint="eastAsia" w:ascii="宋体" w:hAnsi="宋体" w:cs="宋体"/>
          <w:color w:val="auto"/>
          <w:sz w:val="28"/>
          <w:highlight w:val="none"/>
        </w:rPr>
        <w:t>自中标</w:t>
      </w:r>
      <w:r>
        <w:rPr>
          <w:rFonts w:hint="eastAsia" w:ascii="宋体" w:hAnsi="宋体" w:cs="宋体"/>
          <w:color w:val="auto"/>
          <w:sz w:val="28"/>
          <w:highlight w:val="none"/>
          <w:lang w:eastAsia="zh-CN"/>
        </w:rPr>
        <w:t>通知书发放之日</w:t>
      </w:r>
      <w:r>
        <w:rPr>
          <w:rFonts w:hint="eastAsia" w:ascii="宋体" w:hAnsi="宋体" w:cs="宋体"/>
          <w:color w:val="auto"/>
          <w:sz w:val="28"/>
          <w:highlight w:val="none"/>
        </w:rPr>
        <w:t>起</w:t>
      </w:r>
      <w:r>
        <w:rPr>
          <w:rFonts w:hint="eastAsia" w:hAnsi="宋体" w:cs="宋体"/>
          <w:color w:val="auto"/>
          <w:sz w:val="28"/>
          <w:highlight w:val="none"/>
        </w:rPr>
        <w:t>三十</w:t>
      </w:r>
      <w:r>
        <w:rPr>
          <w:rFonts w:hint="eastAsia" w:ascii="宋体" w:hAnsi="宋体" w:cs="宋体"/>
          <w:color w:val="auto"/>
          <w:sz w:val="28"/>
          <w:highlight w:val="none"/>
        </w:rPr>
        <w:t xml:space="preserve">日内与比选人签订合同。 </w:t>
      </w:r>
    </w:p>
    <w:p>
      <w:pPr>
        <w:pStyle w:val="25"/>
        <w:spacing w:line="440" w:lineRule="exact"/>
        <w:ind w:firstLine="0"/>
        <w:rPr>
          <w:rFonts w:ascii="宋体" w:hAnsi="宋体" w:cs="宋体"/>
          <w:color w:val="auto"/>
          <w:sz w:val="28"/>
          <w:highlight w:val="none"/>
        </w:rPr>
      </w:pPr>
      <w:r>
        <w:rPr>
          <w:rFonts w:hint="eastAsia" w:ascii="宋体" w:hAnsi="宋体" w:cs="宋体"/>
          <w:b/>
          <w:bCs/>
          <w:color w:val="auto"/>
          <w:sz w:val="28"/>
          <w:highlight w:val="none"/>
        </w:rPr>
        <w:t>3、工期：</w:t>
      </w:r>
      <w:r>
        <w:rPr>
          <w:rFonts w:hint="eastAsia" w:ascii="宋体" w:hAnsi="宋体" w:cs="宋体"/>
          <w:color w:val="auto"/>
          <w:sz w:val="28"/>
          <w:highlight w:val="none"/>
        </w:rPr>
        <w:t xml:space="preserve">1个月。 </w:t>
      </w:r>
    </w:p>
    <w:p>
      <w:pPr>
        <w:pStyle w:val="25"/>
        <w:spacing w:line="440" w:lineRule="exact"/>
        <w:ind w:firstLine="0"/>
        <w:rPr>
          <w:rFonts w:ascii="宋体" w:hAnsi="宋体" w:cs="宋体"/>
          <w:color w:val="auto"/>
          <w:sz w:val="28"/>
          <w:highlight w:val="none"/>
        </w:rPr>
      </w:pPr>
      <w:r>
        <w:rPr>
          <w:rFonts w:hint="eastAsia" w:ascii="宋体" w:hAnsi="宋体" w:cs="宋体"/>
          <w:b/>
          <w:bCs/>
          <w:color w:val="auto"/>
          <w:sz w:val="28"/>
          <w:highlight w:val="none"/>
        </w:rPr>
        <w:t>4、施工地点</w:t>
      </w:r>
      <w:r>
        <w:rPr>
          <w:rFonts w:hint="eastAsia" w:ascii="宋体" w:hAnsi="宋体" w:cs="宋体"/>
          <w:color w:val="auto"/>
          <w:sz w:val="28"/>
          <w:highlight w:val="none"/>
        </w:rPr>
        <w:t xml:space="preserve">：会展路545号红谷滩城投大厦12楼。  </w:t>
      </w:r>
    </w:p>
    <w:p>
      <w:pPr>
        <w:spacing w:after="156" w:line="440" w:lineRule="exact"/>
        <w:jc w:val="left"/>
        <w:rPr>
          <w:rFonts w:ascii="宋体" w:hAnsi="宋体" w:cs="宋体"/>
          <w:color w:val="auto"/>
          <w:sz w:val="24"/>
          <w:highlight w:val="none"/>
        </w:rPr>
      </w:pPr>
      <w:r>
        <w:rPr>
          <w:rFonts w:hint="eastAsia" w:ascii="宋体" w:hAnsi="宋体" w:cs="宋体"/>
          <w:b/>
          <w:bCs/>
          <w:color w:val="auto"/>
          <w:kern w:val="0"/>
          <w:sz w:val="28"/>
          <w:szCs w:val="28"/>
          <w:highlight w:val="none"/>
        </w:rPr>
        <w:t>5、验收要求：</w:t>
      </w:r>
      <w:r>
        <w:rPr>
          <w:rFonts w:hint="eastAsia" w:ascii="宋体" w:hAnsi="宋体" w:cs="宋体"/>
          <w:color w:val="auto"/>
          <w:kern w:val="0"/>
          <w:sz w:val="28"/>
          <w:szCs w:val="28"/>
          <w:highlight w:val="none"/>
        </w:rPr>
        <w:t>合格</w:t>
      </w:r>
    </w:p>
    <w:p>
      <w:pPr>
        <w:spacing w:line="360" w:lineRule="auto"/>
        <w:jc w:val="center"/>
        <w:outlineLvl w:val="0"/>
        <w:rPr>
          <w:rFonts w:ascii="宋体" w:hAnsi="宋体"/>
          <w:b/>
          <w:color w:val="auto"/>
          <w:sz w:val="30"/>
          <w:szCs w:val="30"/>
          <w:highlight w:val="none"/>
        </w:rPr>
      </w:pPr>
    </w:p>
    <w:p>
      <w:pPr>
        <w:spacing w:line="360" w:lineRule="auto"/>
        <w:jc w:val="center"/>
        <w:outlineLvl w:val="0"/>
        <w:rPr>
          <w:rFonts w:ascii="宋体" w:hAnsi="宋体"/>
          <w:b/>
          <w:color w:val="auto"/>
          <w:sz w:val="30"/>
          <w:szCs w:val="30"/>
          <w:highlight w:val="none"/>
        </w:rPr>
      </w:pPr>
    </w:p>
    <w:p>
      <w:pPr>
        <w:spacing w:line="360" w:lineRule="auto"/>
        <w:jc w:val="center"/>
        <w:outlineLvl w:val="0"/>
        <w:rPr>
          <w:rFonts w:ascii="宋体" w:hAnsi="宋体"/>
          <w:b/>
          <w:color w:val="auto"/>
          <w:sz w:val="30"/>
          <w:szCs w:val="30"/>
          <w:highlight w:val="none"/>
        </w:rPr>
      </w:pPr>
    </w:p>
    <w:p>
      <w:pPr>
        <w:spacing w:line="360" w:lineRule="auto"/>
        <w:jc w:val="center"/>
        <w:outlineLvl w:val="0"/>
        <w:rPr>
          <w:rFonts w:ascii="宋体" w:hAnsi="宋体"/>
          <w:b/>
          <w:color w:val="auto"/>
          <w:sz w:val="30"/>
          <w:szCs w:val="30"/>
          <w:highlight w:val="none"/>
        </w:rPr>
      </w:pPr>
    </w:p>
    <w:p>
      <w:pPr>
        <w:pStyle w:val="2"/>
        <w:rPr>
          <w:color w:val="auto"/>
          <w:highlight w:val="none"/>
        </w:rPr>
      </w:pPr>
    </w:p>
    <w:p>
      <w:pPr>
        <w:pStyle w:val="2"/>
        <w:rPr>
          <w:color w:val="auto"/>
          <w:highlight w:val="none"/>
        </w:rPr>
      </w:pPr>
    </w:p>
    <w:p>
      <w:pPr>
        <w:pStyle w:val="2"/>
        <w:rPr>
          <w:color w:val="auto"/>
          <w:highlight w:val="none"/>
        </w:rPr>
      </w:pPr>
    </w:p>
    <w:p>
      <w:pPr>
        <w:spacing w:line="360" w:lineRule="auto"/>
        <w:jc w:val="center"/>
        <w:outlineLvl w:val="0"/>
        <w:rPr>
          <w:rFonts w:hint="eastAsia" w:ascii="宋体" w:hAnsi="宋体"/>
          <w:b/>
          <w:color w:val="auto"/>
          <w:sz w:val="30"/>
          <w:szCs w:val="30"/>
          <w:highlight w:val="none"/>
        </w:rPr>
      </w:pPr>
    </w:p>
    <w:p>
      <w:pPr>
        <w:spacing w:line="360" w:lineRule="auto"/>
        <w:jc w:val="center"/>
        <w:outlineLvl w:val="0"/>
        <w:rPr>
          <w:rFonts w:hint="eastAsia" w:ascii="宋体" w:hAnsi="宋体"/>
          <w:b/>
          <w:color w:val="auto"/>
          <w:sz w:val="30"/>
          <w:szCs w:val="30"/>
          <w:highlight w:val="none"/>
        </w:rPr>
      </w:pPr>
    </w:p>
    <w:p>
      <w:pPr>
        <w:spacing w:line="360" w:lineRule="auto"/>
        <w:jc w:val="center"/>
        <w:outlineLvl w:val="0"/>
        <w:rPr>
          <w:rFonts w:hint="eastAsia" w:ascii="宋体" w:hAnsi="宋体"/>
          <w:b/>
          <w:color w:val="auto"/>
          <w:sz w:val="30"/>
          <w:szCs w:val="30"/>
          <w:highlight w:val="none"/>
        </w:rPr>
      </w:pPr>
    </w:p>
    <w:p>
      <w:pPr>
        <w:spacing w:line="360" w:lineRule="auto"/>
        <w:jc w:val="center"/>
        <w:outlineLvl w:val="0"/>
        <w:rPr>
          <w:rFonts w:ascii="宋体" w:hAnsi="宋体"/>
          <w:b/>
          <w:color w:val="auto"/>
          <w:sz w:val="30"/>
          <w:szCs w:val="30"/>
          <w:highlight w:val="none"/>
        </w:rPr>
      </w:pPr>
      <w:r>
        <w:rPr>
          <w:rFonts w:hint="eastAsia" w:ascii="宋体" w:hAnsi="宋体"/>
          <w:b/>
          <w:color w:val="auto"/>
          <w:sz w:val="30"/>
          <w:szCs w:val="30"/>
          <w:highlight w:val="none"/>
        </w:rPr>
        <w:t>第五章 参选文件格式</w:t>
      </w:r>
      <w:bookmarkEnd w:id="37"/>
    </w:p>
    <w:p>
      <w:pPr>
        <w:spacing w:line="360" w:lineRule="auto"/>
        <w:jc w:val="right"/>
        <w:outlineLvl w:val="2"/>
        <w:rPr>
          <w:rFonts w:ascii="宋体" w:hAnsi="宋体"/>
          <w:b/>
          <w:color w:val="auto"/>
          <w:sz w:val="28"/>
          <w:szCs w:val="28"/>
          <w:highlight w:val="none"/>
        </w:rPr>
      </w:pPr>
      <w:r>
        <w:rPr>
          <w:rFonts w:hint="eastAsia" w:ascii="宋体" w:hAnsi="宋体"/>
          <w:b/>
          <w:color w:val="auto"/>
          <w:sz w:val="28"/>
          <w:szCs w:val="28"/>
          <w:highlight w:val="none"/>
        </w:rPr>
        <w:t>正本/副本</w:t>
      </w:r>
    </w:p>
    <w:p>
      <w:pPr>
        <w:spacing w:line="360" w:lineRule="auto"/>
        <w:jc w:val="center"/>
        <w:rPr>
          <w:rFonts w:ascii="宋体" w:hAnsi="宋体"/>
          <w:b/>
          <w:color w:val="auto"/>
          <w:sz w:val="32"/>
          <w:szCs w:val="32"/>
          <w:highlight w:val="none"/>
        </w:rPr>
      </w:pPr>
    </w:p>
    <w:p>
      <w:pPr>
        <w:spacing w:line="360" w:lineRule="auto"/>
        <w:jc w:val="center"/>
        <w:outlineLvl w:val="2"/>
        <w:rPr>
          <w:rFonts w:ascii="宋体" w:hAnsi="宋体"/>
          <w:b/>
          <w:color w:val="auto"/>
          <w:sz w:val="48"/>
          <w:szCs w:val="48"/>
          <w:highlight w:val="none"/>
        </w:rPr>
      </w:pPr>
      <w:r>
        <w:rPr>
          <w:rFonts w:hint="eastAsia" w:ascii="宋体" w:hAnsi="宋体"/>
          <w:b/>
          <w:color w:val="auto"/>
          <w:sz w:val="48"/>
          <w:szCs w:val="48"/>
          <w:highlight w:val="none"/>
        </w:rPr>
        <w:t>参 选 文 件</w:t>
      </w:r>
    </w:p>
    <w:p>
      <w:pPr>
        <w:jc w:val="center"/>
        <w:rPr>
          <w:rFonts w:ascii="宋体" w:hAnsi="宋体"/>
          <w:color w:val="auto"/>
          <w:sz w:val="32"/>
          <w:szCs w:val="32"/>
          <w:highlight w:val="none"/>
        </w:rPr>
      </w:pPr>
    </w:p>
    <w:p>
      <w:pPr>
        <w:jc w:val="center"/>
        <w:rPr>
          <w:rFonts w:ascii="宋体" w:hAnsi="宋体"/>
          <w:color w:val="auto"/>
          <w:sz w:val="32"/>
          <w:szCs w:val="32"/>
          <w:highlight w:val="none"/>
        </w:rPr>
      </w:pPr>
    </w:p>
    <w:p>
      <w:pPr>
        <w:jc w:val="center"/>
        <w:rPr>
          <w:rFonts w:ascii="宋体" w:hAnsi="宋体"/>
          <w:color w:val="auto"/>
          <w:sz w:val="32"/>
          <w:szCs w:val="32"/>
          <w:highlight w:val="none"/>
        </w:rPr>
      </w:pPr>
    </w:p>
    <w:p>
      <w:pPr>
        <w:jc w:val="center"/>
        <w:rPr>
          <w:rFonts w:ascii="宋体" w:hAnsi="宋体"/>
          <w:color w:val="auto"/>
          <w:sz w:val="32"/>
          <w:szCs w:val="32"/>
          <w:highlight w:val="none"/>
        </w:rPr>
      </w:pPr>
    </w:p>
    <w:p>
      <w:pPr>
        <w:pStyle w:val="46"/>
        <w:rPr>
          <w:color w:val="auto"/>
          <w:sz w:val="32"/>
          <w:szCs w:val="32"/>
          <w:highlight w:val="none"/>
        </w:rPr>
      </w:pPr>
    </w:p>
    <w:p>
      <w:pPr>
        <w:ind w:firstLine="964" w:firstLineChars="300"/>
        <w:rPr>
          <w:rFonts w:ascii="宋体" w:hAnsi="宋体"/>
          <w:b/>
          <w:bCs/>
          <w:color w:val="auto"/>
          <w:sz w:val="32"/>
          <w:szCs w:val="32"/>
          <w:highlight w:val="none"/>
        </w:rPr>
      </w:pPr>
    </w:p>
    <w:p>
      <w:pPr>
        <w:ind w:firstLine="964" w:firstLineChars="300"/>
        <w:outlineLvl w:val="0"/>
        <w:rPr>
          <w:rFonts w:ascii="宋体" w:hAnsi="宋体"/>
          <w:b/>
          <w:bCs/>
          <w:color w:val="auto"/>
          <w:sz w:val="32"/>
          <w:szCs w:val="32"/>
          <w:highlight w:val="none"/>
        </w:rPr>
      </w:pPr>
      <w:r>
        <w:rPr>
          <w:rFonts w:hint="eastAsia" w:ascii="宋体" w:hAnsi="宋体"/>
          <w:b/>
          <w:bCs/>
          <w:color w:val="auto"/>
          <w:sz w:val="32"/>
          <w:szCs w:val="32"/>
          <w:highlight w:val="none"/>
        </w:rPr>
        <w:t>项目名称：</w:t>
      </w:r>
    </w:p>
    <w:p>
      <w:pPr>
        <w:ind w:firstLine="964" w:firstLineChars="300"/>
        <w:outlineLvl w:val="0"/>
        <w:rPr>
          <w:rFonts w:ascii="宋体" w:hAnsi="宋体"/>
          <w:color w:val="auto"/>
          <w:sz w:val="32"/>
          <w:szCs w:val="32"/>
          <w:highlight w:val="none"/>
        </w:rPr>
      </w:pPr>
      <w:r>
        <w:rPr>
          <w:rFonts w:hint="eastAsia" w:ascii="宋体" w:hAnsi="宋体"/>
          <w:b/>
          <w:bCs/>
          <w:color w:val="auto"/>
          <w:sz w:val="32"/>
          <w:szCs w:val="32"/>
          <w:highlight w:val="none"/>
        </w:rPr>
        <w:t>项目编号：</w:t>
      </w:r>
    </w:p>
    <w:p>
      <w:pPr>
        <w:ind w:firstLine="964" w:firstLineChars="300"/>
        <w:outlineLvl w:val="0"/>
        <w:rPr>
          <w:rFonts w:ascii="宋体" w:hAnsi="宋体"/>
          <w:b/>
          <w:bCs/>
          <w:color w:val="auto"/>
          <w:sz w:val="32"/>
          <w:szCs w:val="32"/>
          <w:highlight w:val="none"/>
        </w:rPr>
      </w:pPr>
      <w:r>
        <w:rPr>
          <w:rFonts w:hint="eastAsia" w:ascii="宋体" w:hAnsi="宋体"/>
          <w:b/>
          <w:bCs/>
          <w:color w:val="auto"/>
          <w:sz w:val="32"/>
          <w:szCs w:val="32"/>
          <w:highlight w:val="none"/>
        </w:rPr>
        <w:t>参选人：（章）</w:t>
      </w:r>
    </w:p>
    <w:p>
      <w:pPr>
        <w:ind w:firstLine="964" w:firstLineChars="300"/>
        <w:outlineLvl w:val="0"/>
        <w:rPr>
          <w:rFonts w:ascii="宋体" w:hAnsi="宋体"/>
          <w:b/>
          <w:bCs/>
          <w:color w:val="auto"/>
          <w:sz w:val="32"/>
          <w:szCs w:val="32"/>
          <w:highlight w:val="none"/>
          <w:u w:val="single"/>
        </w:rPr>
      </w:pPr>
      <w:r>
        <w:rPr>
          <w:rFonts w:hint="eastAsia" w:ascii="宋体" w:hAnsi="宋体"/>
          <w:b/>
          <w:bCs/>
          <w:color w:val="auto"/>
          <w:sz w:val="32"/>
          <w:szCs w:val="32"/>
          <w:highlight w:val="none"/>
        </w:rPr>
        <w:t>法定代表人：（章）</w:t>
      </w:r>
    </w:p>
    <w:p>
      <w:pPr>
        <w:ind w:firstLine="964" w:firstLineChars="300"/>
        <w:outlineLvl w:val="0"/>
        <w:rPr>
          <w:rFonts w:ascii="宋体" w:hAnsi="宋体"/>
          <w:b/>
          <w:bCs/>
          <w:color w:val="auto"/>
          <w:sz w:val="32"/>
          <w:szCs w:val="32"/>
          <w:highlight w:val="none"/>
          <w:u w:val="single"/>
        </w:rPr>
      </w:pPr>
      <w:r>
        <w:rPr>
          <w:rFonts w:hint="eastAsia" w:ascii="宋体" w:hAnsi="宋体"/>
          <w:b/>
          <w:bCs/>
          <w:color w:val="auto"/>
          <w:sz w:val="32"/>
          <w:szCs w:val="32"/>
          <w:highlight w:val="none"/>
        </w:rPr>
        <w:t>联系人：   电话：</w:t>
      </w:r>
    </w:p>
    <w:p>
      <w:pPr>
        <w:ind w:firstLine="964" w:firstLineChars="300"/>
        <w:outlineLvl w:val="0"/>
        <w:rPr>
          <w:rFonts w:ascii="宋体" w:hAnsi="宋体"/>
          <w:b/>
          <w:bCs/>
          <w:color w:val="auto"/>
          <w:sz w:val="32"/>
          <w:szCs w:val="32"/>
          <w:highlight w:val="none"/>
        </w:rPr>
      </w:pPr>
      <w:r>
        <w:rPr>
          <w:rFonts w:hint="eastAsia" w:ascii="宋体" w:hAnsi="宋体"/>
          <w:b/>
          <w:bCs/>
          <w:color w:val="auto"/>
          <w:sz w:val="32"/>
          <w:szCs w:val="32"/>
          <w:highlight w:val="none"/>
        </w:rPr>
        <w:t>投递日期：</w:t>
      </w:r>
      <w:r>
        <w:rPr>
          <w:rFonts w:hint="eastAsia" w:ascii="宋体" w:hAnsi="宋体"/>
          <w:b/>
          <w:bCs/>
          <w:color w:val="auto"/>
          <w:sz w:val="32"/>
          <w:szCs w:val="32"/>
          <w:highlight w:val="none"/>
          <w:lang w:val="en-US" w:eastAsia="zh-CN"/>
        </w:rPr>
        <w:t xml:space="preserve">  </w:t>
      </w:r>
      <w:r>
        <w:rPr>
          <w:rFonts w:hint="eastAsia" w:ascii="宋体" w:hAnsi="宋体"/>
          <w:b/>
          <w:bCs/>
          <w:color w:val="auto"/>
          <w:sz w:val="32"/>
          <w:szCs w:val="32"/>
          <w:highlight w:val="none"/>
        </w:rPr>
        <w:t>年</w:t>
      </w:r>
      <w:r>
        <w:rPr>
          <w:rFonts w:hint="eastAsia" w:ascii="宋体" w:hAnsi="宋体"/>
          <w:b/>
          <w:bCs/>
          <w:color w:val="auto"/>
          <w:sz w:val="32"/>
          <w:szCs w:val="32"/>
          <w:highlight w:val="none"/>
          <w:lang w:val="en-US" w:eastAsia="zh-CN"/>
        </w:rPr>
        <w:t xml:space="preserve">  </w:t>
      </w:r>
      <w:r>
        <w:rPr>
          <w:rFonts w:hint="eastAsia" w:ascii="宋体" w:hAnsi="宋体"/>
          <w:b/>
          <w:bCs/>
          <w:color w:val="auto"/>
          <w:sz w:val="32"/>
          <w:szCs w:val="32"/>
          <w:highlight w:val="none"/>
        </w:rPr>
        <w:t>月</w:t>
      </w:r>
      <w:r>
        <w:rPr>
          <w:rFonts w:hint="eastAsia" w:ascii="宋体" w:hAnsi="宋体"/>
          <w:b/>
          <w:bCs/>
          <w:color w:val="auto"/>
          <w:sz w:val="32"/>
          <w:szCs w:val="32"/>
          <w:highlight w:val="none"/>
          <w:lang w:val="en-US" w:eastAsia="zh-CN"/>
        </w:rPr>
        <w:t xml:space="preserve">  </w:t>
      </w:r>
      <w:r>
        <w:rPr>
          <w:rFonts w:hint="eastAsia" w:ascii="宋体" w:hAnsi="宋体"/>
          <w:b/>
          <w:bCs/>
          <w:color w:val="auto"/>
          <w:sz w:val="32"/>
          <w:szCs w:val="32"/>
          <w:highlight w:val="none"/>
        </w:rPr>
        <w:t>日</w:t>
      </w:r>
    </w:p>
    <w:p>
      <w:pPr>
        <w:spacing w:line="360" w:lineRule="auto"/>
        <w:rPr>
          <w:rFonts w:ascii="宋体" w:hAnsi="宋体"/>
          <w:b/>
          <w:color w:val="auto"/>
          <w:sz w:val="24"/>
          <w:highlight w:val="none"/>
        </w:rPr>
      </w:pPr>
    </w:p>
    <w:p>
      <w:pPr>
        <w:rPr>
          <w:color w:val="auto"/>
          <w:sz w:val="24"/>
          <w:highlight w:val="none"/>
        </w:rPr>
      </w:pPr>
    </w:p>
    <w:p>
      <w:pPr>
        <w:rPr>
          <w:color w:val="auto"/>
          <w:sz w:val="24"/>
          <w:highlight w:val="none"/>
        </w:rPr>
      </w:pPr>
    </w:p>
    <w:p>
      <w:pPr>
        <w:rPr>
          <w:color w:val="auto"/>
          <w:sz w:val="24"/>
          <w:highlight w:val="none"/>
        </w:rPr>
      </w:pPr>
    </w:p>
    <w:p>
      <w:pPr>
        <w:rPr>
          <w:color w:val="auto"/>
          <w:sz w:val="24"/>
          <w:highlight w:val="none"/>
        </w:rPr>
      </w:pPr>
    </w:p>
    <w:p>
      <w:pPr>
        <w:rPr>
          <w:color w:val="auto"/>
          <w:sz w:val="24"/>
          <w:highlight w:val="none"/>
        </w:rPr>
      </w:pPr>
    </w:p>
    <w:p>
      <w:pPr>
        <w:pStyle w:val="2"/>
        <w:rPr>
          <w:color w:val="auto"/>
          <w:highlight w:val="none"/>
        </w:rPr>
      </w:pPr>
    </w:p>
    <w:p>
      <w:pPr>
        <w:pStyle w:val="2"/>
        <w:rPr>
          <w:color w:val="auto"/>
          <w:highlight w:val="none"/>
        </w:rPr>
      </w:pPr>
    </w:p>
    <w:p>
      <w:pPr>
        <w:spacing w:after="100" w:afterAutospacing="1"/>
        <w:jc w:val="center"/>
        <w:rPr>
          <w:rFonts w:ascii="宋体" w:hAnsi="宋体"/>
          <w:b/>
          <w:color w:val="auto"/>
          <w:sz w:val="24"/>
          <w:highlight w:val="none"/>
        </w:rPr>
      </w:pPr>
    </w:p>
    <w:p>
      <w:pPr>
        <w:jc w:val="center"/>
        <w:rPr>
          <w:b/>
          <w:bCs/>
          <w:color w:val="auto"/>
          <w:sz w:val="30"/>
          <w:szCs w:val="30"/>
          <w:highlight w:val="none"/>
        </w:rPr>
      </w:pPr>
    </w:p>
    <w:p>
      <w:pPr>
        <w:pStyle w:val="2"/>
        <w:rPr>
          <w:color w:val="auto"/>
          <w:highlight w:val="none"/>
        </w:rPr>
      </w:pPr>
    </w:p>
    <w:p>
      <w:pPr>
        <w:jc w:val="center"/>
        <w:outlineLvl w:val="0"/>
        <w:rPr>
          <w:b/>
          <w:bCs/>
          <w:color w:val="auto"/>
          <w:sz w:val="24"/>
          <w:highlight w:val="none"/>
        </w:rPr>
      </w:pPr>
      <w:r>
        <w:rPr>
          <w:rFonts w:hint="eastAsia"/>
          <w:b/>
          <w:bCs/>
          <w:color w:val="auto"/>
          <w:sz w:val="30"/>
          <w:szCs w:val="30"/>
          <w:highlight w:val="none"/>
        </w:rPr>
        <w:t>1、参选函</w:t>
      </w:r>
    </w:p>
    <w:p>
      <w:pPr>
        <w:wordWrap w:val="0"/>
        <w:spacing w:line="360" w:lineRule="auto"/>
        <w:rPr>
          <w:rFonts w:ascii="宋体" w:hAnsi="宋体"/>
          <w:color w:val="auto"/>
          <w:sz w:val="24"/>
          <w:highlight w:val="none"/>
        </w:rPr>
      </w:pPr>
      <w:r>
        <w:rPr>
          <w:rFonts w:ascii="宋体" w:hAnsi="宋体"/>
          <w:color w:val="auto"/>
          <w:sz w:val="24"/>
          <w:highlight w:val="none"/>
        </w:rPr>
        <w:t>致：</w:t>
      </w:r>
      <w:r>
        <w:rPr>
          <w:rFonts w:hint="eastAsia" w:ascii="宋体" w:hAnsi="宋体"/>
          <w:color w:val="auto"/>
          <w:sz w:val="24"/>
          <w:highlight w:val="none"/>
          <w:u w:val="single"/>
        </w:rPr>
        <w:t xml:space="preserve"> （比选人） </w:t>
      </w:r>
    </w:p>
    <w:p>
      <w:pPr>
        <w:wordWrap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根据贵方为</w:t>
      </w:r>
      <w:r>
        <w:rPr>
          <w:rFonts w:ascii="宋体" w:hAnsi="宋体"/>
          <w:color w:val="auto"/>
          <w:sz w:val="24"/>
          <w:highlight w:val="none"/>
          <w:u w:val="single"/>
        </w:rPr>
        <w:t>(</w:t>
      </w:r>
      <w:r>
        <w:rPr>
          <w:rFonts w:hint="eastAsia" w:ascii="宋体" w:hAnsi="宋体"/>
          <w:color w:val="auto"/>
          <w:sz w:val="24"/>
          <w:highlight w:val="none"/>
          <w:u w:val="single"/>
        </w:rPr>
        <w:t>项目名称</w:t>
      </w:r>
      <w:r>
        <w:rPr>
          <w:rFonts w:ascii="宋体" w:hAnsi="宋体"/>
          <w:color w:val="auto"/>
          <w:sz w:val="24"/>
          <w:highlight w:val="none"/>
          <w:u w:val="single"/>
        </w:rPr>
        <w:t>)</w:t>
      </w:r>
      <w:r>
        <w:rPr>
          <w:rFonts w:hint="eastAsia" w:ascii="宋体" w:hAnsi="宋体"/>
          <w:color w:val="auto"/>
          <w:sz w:val="24"/>
          <w:highlight w:val="none"/>
        </w:rPr>
        <w:t>工程</w:t>
      </w:r>
      <w:r>
        <w:rPr>
          <w:rFonts w:hint="eastAsia" w:ascii="宋体" w:hAnsi="宋体"/>
          <w:color w:val="auto"/>
          <w:sz w:val="24"/>
          <w:highlight w:val="none"/>
          <w:u w:val="single"/>
        </w:rPr>
        <w:t>(项目编号</w:t>
      </w:r>
      <w:r>
        <w:rPr>
          <w:rFonts w:ascii="宋体" w:hAnsi="宋体"/>
          <w:color w:val="auto"/>
          <w:sz w:val="24"/>
          <w:highlight w:val="none"/>
          <w:u w:val="single"/>
        </w:rPr>
        <w:t>)</w:t>
      </w:r>
      <w:r>
        <w:rPr>
          <w:rFonts w:hint="eastAsia" w:ascii="宋体" w:hAnsi="宋体"/>
          <w:color w:val="auto"/>
          <w:sz w:val="24"/>
          <w:highlight w:val="none"/>
        </w:rPr>
        <w:t>比选招标工程、货物及服务的参选邀请，我方代表</w:t>
      </w:r>
      <w:r>
        <w:rPr>
          <w:rFonts w:hint="eastAsia" w:ascii="宋体" w:hAnsi="宋体"/>
          <w:color w:val="auto"/>
          <w:sz w:val="24"/>
          <w:highlight w:val="none"/>
          <w:u w:val="single"/>
        </w:rPr>
        <w:t>（姓名、职务）</w:t>
      </w:r>
      <w:r>
        <w:rPr>
          <w:rFonts w:hint="eastAsia" w:ascii="宋体" w:hAnsi="宋体"/>
          <w:color w:val="auto"/>
          <w:sz w:val="24"/>
          <w:highlight w:val="none"/>
        </w:rPr>
        <w:t>经正式授权并代表</w:t>
      </w:r>
      <w:r>
        <w:rPr>
          <w:rFonts w:hint="eastAsia" w:ascii="宋体" w:hAnsi="宋体"/>
          <w:color w:val="auto"/>
          <w:sz w:val="24"/>
          <w:highlight w:val="none"/>
          <w:u w:val="single"/>
        </w:rPr>
        <w:t>（参选人名称、地址）</w:t>
      </w:r>
      <w:r>
        <w:rPr>
          <w:rFonts w:hint="eastAsia" w:ascii="宋体" w:hAnsi="宋体"/>
          <w:color w:val="auto"/>
          <w:sz w:val="24"/>
          <w:highlight w:val="none"/>
        </w:rPr>
        <w:t>提交下述参选文件。在此，我方声明如下：</w:t>
      </w:r>
    </w:p>
    <w:p>
      <w:pPr>
        <w:numPr>
          <w:ilvl w:val="0"/>
          <w:numId w:val="4"/>
        </w:numPr>
        <w:wordWrap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参选函</w:t>
      </w:r>
    </w:p>
    <w:p>
      <w:pPr>
        <w:numPr>
          <w:ilvl w:val="0"/>
          <w:numId w:val="4"/>
        </w:numPr>
        <w:wordWrap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参选承诺书</w:t>
      </w:r>
    </w:p>
    <w:p>
      <w:pPr>
        <w:numPr>
          <w:ilvl w:val="0"/>
          <w:numId w:val="4"/>
        </w:numPr>
        <w:wordWrap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开标一览表</w:t>
      </w:r>
    </w:p>
    <w:p>
      <w:pPr>
        <w:numPr>
          <w:ilvl w:val="0"/>
          <w:numId w:val="4"/>
        </w:numPr>
        <w:wordWrap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开标一览明细表</w:t>
      </w:r>
    </w:p>
    <w:p>
      <w:pPr>
        <w:numPr>
          <w:ilvl w:val="0"/>
          <w:numId w:val="4"/>
        </w:numPr>
        <w:wordWrap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服务需求响应/偏离表</w:t>
      </w:r>
    </w:p>
    <w:p>
      <w:pPr>
        <w:numPr>
          <w:ilvl w:val="0"/>
          <w:numId w:val="4"/>
        </w:numPr>
        <w:wordWrap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商务条款响应/偏离表</w:t>
      </w:r>
    </w:p>
    <w:p>
      <w:pPr>
        <w:numPr>
          <w:ilvl w:val="0"/>
          <w:numId w:val="4"/>
        </w:numPr>
        <w:wordWrap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资格证明文件</w:t>
      </w:r>
    </w:p>
    <w:p>
      <w:pPr>
        <w:numPr>
          <w:ilvl w:val="0"/>
          <w:numId w:val="4"/>
        </w:numPr>
        <w:wordWrap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按比选文件参选人须知和服务需求要求提供的有关文件</w:t>
      </w:r>
    </w:p>
    <w:p>
      <w:pPr>
        <w:wordWrap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据此函，签字代表宣布同意如下：</w:t>
      </w:r>
    </w:p>
    <w:p>
      <w:pPr>
        <w:wordWrap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1、所附参选价格表中规定的应提交和交付的货物参选总价为</w:t>
      </w:r>
      <w:r>
        <w:rPr>
          <w:rFonts w:hint="eastAsia" w:ascii="宋体" w:hAnsi="宋体"/>
          <w:b/>
          <w:bCs/>
          <w:color w:val="auto"/>
          <w:sz w:val="24"/>
          <w:highlight w:val="none"/>
          <w:u w:val="single"/>
        </w:rPr>
        <w:t>（注明币种，并用文字和数字表示的参选总价）</w:t>
      </w:r>
      <w:r>
        <w:rPr>
          <w:rFonts w:hint="eastAsia" w:ascii="宋体" w:hAnsi="宋体"/>
          <w:color w:val="auto"/>
          <w:sz w:val="24"/>
          <w:highlight w:val="none"/>
        </w:rPr>
        <w:t xml:space="preserve"> 。</w:t>
      </w:r>
    </w:p>
    <w:p>
      <w:pPr>
        <w:wordWrap w:val="0"/>
        <w:spacing w:line="360" w:lineRule="auto"/>
        <w:ind w:firstLine="480" w:firstLineChars="200"/>
        <w:rPr>
          <w:rFonts w:ascii="宋体" w:hAnsi="宋体"/>
          <w:color w:val="auto"/>
          <w:sz w:val="24"/>
          <w:highlight w:val="none"/>
        </w:rPr>
      </w:pPr>
      <w:r>
        <w:rPr>
          <w:rFonts w:ascii="宋体" w:hAnsi="宋体"/>
          <w:color w:val="auto"/>
          <w:sz w:val="24"/>
          <w:highlight w:val="none"/>
        </w:rPr>
        <w:t>2</w:t>
      </w:r>
      <w:r>
        <w:rPr>
          <w:rFonts w:hint="eastAsia" w:ascii="宋体" w:hAnsi="宋体"/>
          <w:color w:val="auto"/>
          <w:sz w:val="24"/>
          <w:highlight w:val="none"/>
        </w:rPr>
        <w:t>、参选人将按比选文件的规定履行合同责任和义务。</w:t>
      </w:r>
    </w:p>
    <w:p>
      <w:pPr>
        <w:wordWrap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3、参选有效期为参选最终截止之日起</w:t>
      </w:r>
      <w:r>
        <w:rPr>
          <w:rFonts w:hint="eastAsia" w:ascii="宋体" w:hAnsi="宋体"/>
          <w:color w:val="auto"/>
          <w:sz w:val="24"/>
          <w:highlight w:val="none"/>
          <w:u w:val="single"/>
        </w:rPr>
        <w:t>90</w:t>
      </w:r>
      <w:r>
        <w:rPr>
          <w:rFonts w:hint="eastAsia" w:ascii="宋体" w:hAnsi="宋体"/>
          <w:color w:val="auto"/>
          <w:sz w:val="24"/>
          <w:highlight w:val="none"/>
        </w:rPr>
        <w:t>日历日。</w:t>
      </w:r>
    </w:p>
    <w:p>
      <w:pPr>
        <w:wordWrap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4、如果在规定的开标时间后，参选人在参选有效期内撤回参选，其参选作无效处理。</w:t>
      </w:r>
    </w:p>
    <w:p>
      <w:pPr>
        <w:wordWrap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5、参选人已详细地阅读了全部比选文件及其附件，包括第/（编号、补遗书）（如果有的话）。我们已完全理解并同意放弃对这方面有不明及误解的权力。</w:t>
      </w:r>
    </w:p>
    <w:p>
      <w:pPr>
        <w:wordWrap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6、参选人同意提供按照贵方可能要求的与其参选有关的一切数据或资料。</w:t>
      </w:r>
    </w:p>
    <w:p>
      <w:pPr>
        <w:wordWrap w:val="0"/>
        <w:spacing w:line="360" w:lineRule="auto"/>
        <w:ind w:firstLine="480" w:firstLineChars="200"/>
        <w:rPr>
          <w:color w:val="auto"/>
          <w:highlight w:val="none"/>
        </w:rPr>
      </w:pPr>
      <w:r>
        <w:rPr>
          <w:rFonts w:hint="eastAsia" w:ascii="宋体" w:hAnsi="宋体"/>
          <w:color w:val="auto"/>
          <w:sz w:val="24"/>
          <w:highlight w:val="none"/>
        </w:rPr>
        <w:t>7、与本参选有关的一切正式往来信函请寄：</w:t>
      </w:r>
    </w:p>
    <w:p>
      <w:pPr>
        <w:jc w:val="right"/>
        <w:rPr>
          <w:b/>
          <w:bCs/>
          <w:color w:val="auto"/>
          <w:sz w:val="24"/>
          <w:highlight w:val="none"/>
        </w:rPr>
      </w:pPr>
    </w:p>
    <w:p>
      <w:pPr>
        <w:jc w:val="right"/>
        <w:rPr>
          <w:color w:val="auto"/>
          <w:sz w:val="24"/>
          <w:highlight w:val="none"/>
        </w:rPr>
      </w:pPr>
      <w:r>
        <w:rPr>
          <w:rFonts w:hint="eastAsia"/>
          <w:color w:val="auto"/>
          <w:sz w:val="24"/>
          <w:highlight w:val="none"/>
        </w:rPr>
        <w:t>参选人名称：（盖章）</w:t>
      </w:r>
    </w:p>
    <w:p>
      <w:pPr>
        <w:rPr>
          <w:color w:val="auto"/>
          <w:sz w:val="24"/>
          <w:highlight w:val="none"/>
        </w:rPr>
      </w:pPr>
    </w:p>
    <w:p>
      <w:pPr>
        <w:rPr>
          <w:color w:val="auto"/>
          <w:sz w:val="24"/>
          <w:highlight w:val="none"/>
        </w:rPr>
      </w:pPr>
      <w:r>
        <w:rPr>
          <w:rFonts w:hint="eastAsia"/>
          <w:color w:val="auto"/>
          <w:sz w:val="24"/>
          <w:highlight w:val="none"/>
        </w:rPr>
        <w:t xml:space="preserve">                            法定代表人盖章（或授权委托人签字）：</w:t>
      </w:r>
    </w:p>
    <w:p>
      <w:pPr>
        <w:rPr>
          <w:color w:val="auto"/>
          <w:sz w:val="24"/>
          <w:highlight w:val="none"/>
        </w:rPr>
      </w:pPr>
    </w:p>
    <w:p>
      <w:pPr>
        <w:rPr>
          <w:color w:val="auto"/>
          <w:sz w:val="24"/>
          <w:highlight w:val="none"/>
        </w:rPr>
      </w:pPr>
      <w:r>
        <w:rPr>
          <w:rFonts w:hint="eastAsia"/>
          <w:color w:val="auto"/>
          <w:sz w:val="24"/>
          <w:highlight w:val="none"/>
        </w:rPr>
        <w:t xml:space="preserve">                                                日   期：</w:t>
      </w:r>
    </w:p>
    <w:p>
      <w:pPr>
        <w:jc w:val="center"/>
        <w:outlineLvl w:val="0"/>
        <w:rPr>
          <w:b/>
          <w:bCs/>
          <w:color w:val="auto"/>
          <w:sz w:val="30"/>
          <w:szCs w:val="30"/>
          <w:highlight w:val="none"/>
        </w:rPr>
      </w:pPr>
      <w:r>
        <w:rPr>
          <w:rFonts w:hint="eastAsia"/>
          <w:b/>
          <w:bCs/>
          <w:color w:val="auto"/>
          <w:sz w:val="30"/>
          <w:szCs w:val="30"/>
          <w:highlight w:val="none"/>
        </w:rPr>
        <w:t>2、参选承诺书</w:t>
      </w:r>
    </w:p>
    <w:p>
      <w:pPr>
        <w:spacing w:line="580" w:lineRule="exact"/>
        <w:rPr>
          <w:rFonts w:ascii="新宋体" w:hAnsi="新宋体" w:eastAsia="新宋体"/>
          <w:color w:val="auto"/>
          <w:sz w:val="24"/>
          <w:highlight w:val="none"/>
        </w:rPr>
      </w:pPr>
      <w:r>
        <w:rPr>
          <w:rFonts w:hint="eastAsia" w:ascii="宋体" w:hAnsi="宋体"/>
          <w:color w:val="auto"/>
          <w:sz w:val="24"/>
          <w:highlight w:val="none"/>
          <w:u w:val="single"/>
        </w:rPr>
        <w:t xml:space="preserve"> （比选人）</w:t>
      </w:r>
      <w:r>
        <w:rPr>
          <w:rFonts w:ascii="新宋体" w:hAnsi="新宋体" w:eastAsia="新宋体"/>
          <w:color w:val="auto"/>
          <w:sz w:val="24"/>
          <w:highlight w:val="none"/>
        </w:rPr>
        <w:t>：</w:t>
      </w:r>
    </w:p>
    <w:p>
      <w:pPr>
        <w:wordWrap w:val="0"/>
        <w:spacing w:line="360" w:lineRule="auto"/>
        <w:ind w:firstLine="480" w:firstLineChars="200"/>
        <w:rPr>
          <w:rFonts w:ascii="宋体" w:hAnsi="宋体"/>
          <w:color w:val="auto"/>
          <w:sz w:val="24"/>
          <w:highlight w:val="none"/>
        </w:rPr>
      </w:pPr>
      <w:r>
        <w:rPr>
          <w:rFonts w:ascii="宋体" w:hAnsi="宋体"/>
          <w:color w:val="auto"/>
          <w:sz w:val="24"/>
          <w:highlight w:val="none"/>
        </w:rPr>
        <w:t>为了充分体现公平竞争、诚信</w:t>
      </w:r>
      <w:r>
        <w:rPr>
          <w:rFonts w:hint="eastAsia" w:ascii="宋体" w:hAnsi="宋体"/>
          <w:color w:val="auto"/>
          <w:sz w:val="24"/>
          <w:highlight w:val="none"/>
        </w:rPr>
        <w:t>参选</w:t>
      </w:r>
      <w:r>
        <w:rPr>
          <w:rFonts w:ascii="宋体" w:hAnsi="宋体"/>
          <w:color w:val="auto"/>
          <w:sz w:val="24"/>
          <w:highlight w:val="none"/>
        </w:rPr>
        <w:t>行为，我单位对参与 项目的</w:t>
      </w:r>
      <w:r>
        <w:rPr>
          <w:rFonts w:hint="eastAsia" w:ascii="宋体" w:hAnsi="宋体"/>
          <w:color w:val="auto"/>
          <w:sz w:val="24"/>
          <w:highlight w:val="none"/>
        </w:rPr>
        <w:t>参选</w:t>
      </w:r>
      <w:r>
        <w:rPr>
          <w:rFonts w:ascii="宋体" w:hAnsi="宋体"/>
          <w:color w:val="auto"/>
          <w:sz w:val="24"/>
          <w:highlight w:val="none"/>
        </w:rPr>
        <w:t>作出如下承诺：</w:t>
      </w:r>
    </w:p>
    <w:p>
      <w:pPr>
        <w:wordWrap w:val="0"/>
        <w:spacing w:line="360" w:lineRule="auto"/>
        <w:ind w:firstLine="480" w:firstLineChars="200"/>
        <w:rPr>
          <w:rFonts w:ascii="宋体" w:hAnsi="宋体"/>
          <w:color w:val="auto"/>
          <w:sz w:val="24"/>
          <w:highlight w:val="none"/>
        </w:rPr>
      </w:pPr>
      <w:r>
        <w:rPr>
          <w:rFonts w:ascii="宋体" w:hAnsi="宋体"/>
          <w:color w:val="auto"/>
          <w:sz w:val="24"/>
          <w:highlight w:val="none"/>
        </w:rPr>
        <w:t>1 、严格遵守国家相关法律、法规，没有围标、串标、资质挂靠等违法、违规行为，所投入的管理</w:t>
      </w:r>
      <w:r>
        <w:rPr>
          <w:rFonts w:hint="eastAsia" w:ascii="宋体" w:hAnsi="宋体"/>
          <w:color w:val="auto"/>
          <w:sz w:val="24"/>
          <w:highlight w:val="none"/>
        </w:rPr>
        <w:t>、人员等</w:t>
      </w:r>
      <w:r>
        <w:rPr>
          <w:rFonts w:ascii="宋体" w:hAnsi="宋体"/>
          <w:color w:val="auto"/>
          <w:sz w:val="24"/>
          <w:highlight w:val="none"/>
        </w:rPr>
        <w:t>均为我公司正式在职人员；</w:t>
      </w:r>
    </w:p>
    <w:p>
      <w:pPr>
        <w:wordWrap w:val="0"/>
        <w:spacing w:line="360" w:lineRule="auto"/>
        <w:ind w:firstLine="480" w:firstLineChars="200"/>
        <w:rPr>
          <w:rFonts w:ascii="宋体" w:hAnsi="宋体"/>
          <w:color w:val="auto"/>
          <w:sz w:val="24"/>
          <w:highlight w:val="none"/>
        </w:rPr>
      </w:pPr>
      <w:r>
        <w:rPr>
          <w:rFonts w:ascii="宋体" w:hAnsi="宋体"/>
          <w:color w:val="auto"/>
          <w:sz w:val="24"/>
          <w:highlight w:val="none"/>
        </w:rPr>
        <w:t>2 、提供的资质等证明材料真实、合法、有效；</w:t>
      </w:r>
    </w:p>
    <w:p>
      <w:pPr>
        <w:wordWrap w:val="0"/>
        <w:spacing w:line="360" w:lineRule="auto"/>
        <w:ind w:firstLine="480" w:firstLineChars="200"/>
        <w:rPr>
          <w:rFonts w:ascii="宋体" w:hAnsi="宋体"/>
          <w:color w:val="auto"/>
          <w:sz w:val="24"/>
          <w:highlight w:val="none"/>
        </w:rPr>
      </w:pPr>
      <w:r>
        <w:rPr>
          <w:rFonts w:ascii="宋体" w:hAnsi="宋体"/>
          <w:color w:val="auto"/>
          <w:sz w:val="24"/>
          <w:highlight w:val="none"/>
        </w:rPr>
        <w:t>3、不参与不正当竞争，不向</w:t>
      </w:r>
      <w:r>
        <w:rPr>
          <w:rFonts w:hint="eastAsia" w:ascii="宋体" w:hAnsi="宋体"/>
          <w:color w:val="auto"/>
          <w:sz w:val="24"/>
          <w:highlight w:val="none"/>
        </w:rPr>
        <w:t>参选人</w:t>
      </w:r>
      <w:r>
        <w:rPr>
          <w:rFonts w:ascii="宋体" w:hAnsi="宋体"/>
          <w:color w:val="auto"/>
          <w:sz w:val="24"/>
          <w:highlight w:val="none"/>
        </w:rPr>
        <w:t>、代理机构、</w:t>
      </w:r>
      <w:r>
        <w:rPr>
          <w:rFonts w:hint="eastAsia" w:ascii="宋体" w:hAnsi="宋体"/>
          <w:color w:val="auto"/>
          <w:sz w:val="24"/>
          <w:highlight w:val="none"/>
        </w:rPr>
        <w:t>比选人、</w:t>
      </w:r>
      <w:r>
        <w:rPr>
          <w:rFonts w:ascii="宋体" w:hAnsi="宋体"/>
          <w:color w:val="auto"/>
          <w:sz w:val="24"/>
          <w:highlight w:val="none"/>
        </w:rPr>
        <w:t>评标</w:t>
      </w:r>
      <w:r>
        <w:rPr>
          <w:rFonts w:hint="eastAsia" w:ascii="宋体" w:hAnsi="宋体"/>
          <w:color w:val="auto"/>
          <w:sz w:val="24"/>
          <w:highlight w:val="none"/>
        </w:rPr>
        <w:t>委员会等</w:t>
      </w:r>
      <w:r>
        <w:rPr>
          <w:rFonts w:ascii="宋体" w:hAnsi="宋体"/>
          <w:color w:val="auto"/>
          <w:sz w:val="24"/>
          <w:highlight w:val="none"/>
        </w:rPr>
        <w:t>行贿以谋取不正当利益；</w:t>
      </w:r>
    </w:p>
    <w:p>
      <w:pPr>
        <w:wordWrap w:val="0"/>
        <w:spacing w:line="360" w:lineRule="auto"/>
        <w:ind w:firstLine="480" w:firstLineChars="200"/>
        <w:rPr>
          <w:rFonts w:ascii="宋体" w:hAnsi="宋体"/>
          <w:color w:val="auto"/>
          <w:sz w:val="24"/>
          <w:highlight w:val="none"/>
        </w:rPr>
      </w:pPr>
      <w:r>
        <w:rPr>
          <w:rFonts w:ascii="宋体" w:hAnsi="宋体"/>
          <w:color w:val="auto"/>
          <w:sz w:val="24"/>
          <w:highlight w:val="none"/>
        </w:rPr>
        <w:t>4、严格按照</w:t>
      </w:r>
      <w:r>
        <w:rPr>
          <w:rFonts w:hint="eastAsia" w:ascii="宋体" w:hAnsi="宋体"/>
          <w:color w:val="auto"/>
          <w:sz w:val="24"/>
          <w:highlight w:val="none"/>
        </w:rPr>
        <w:t>比选文件</w:t>
      </w:r>
      <w:r>
        <w:rPr>
          <w:rFonts w:ascii="宋体" w:hAnsi="宋体"/>
          <w:color w:val="auto"/>
          <w:sz w:val="24"/>
          <w:highlight w:val="none"/>
        </w:rPr>
        <w:t>、</w:t>
      </w:r>
      <w:r>
        <w:rPr>
          <w:rFonts w:hint="eastAsia" w:ascii="宋体" w:hAnsi="宋体"/>
          <w:color w:val="auto"/>
          <w:sz w:val="24"/>
          <w:highlight w:val="none"/>
        </w:rPr>
        <w:t>参选文件</w:t>
      </w:r>
      <w:r>
        <w:rPr>
          <w:rFonts w:ascii="宋体" w:hAnsi="宋体"/>
          <w:color w:val="auto"/>
          <w:sz w:val="24"/>
          <w:highlight w:val="none"/>
        </w:rPr>
        <w:t>约定签订合同，不将中选项目违法分包</w:t>
      </w:r>
      <w:r>
        <w:rPr>
          <w:rFonts w:hint="eastAsia" w:ascii="宋体" w:hAnsi="宋体"/>
          <w:color w:val="auto"/>
          <w:sz w:val="24"/>
          <w:highlight w:val="none"/>
        </w:rPr>
        <w:t>、</w:t>
      </w:r>
      <w:r>
        <w:rPr>
          <w:rFonts w:ascii="宋体" w:hAnsi="宋体"/>
          <w:color w:val="auto"/>
          <w:sz w:val="24"/>
          <w:highlight w:val="none"/>
        </w:rPr>
        <w:t>转包</w:t>
      </w:r>
      <w:r>
        <w:rPr>
          <w:rFonts w:hint="eastAsia" w:ascii="宋体" w:hAnsi="宋体"/>
          <w:color w:val="auto"/>
          <w:sz w:val="24"/>
          <w:highlight w:val="none"/>
        </w:rPr>
        <w:t>、转租</w:t>
      </w:r>
      <w:r>
        <w:rPr>
          <w:rFonts w:ascii="宋体" w:hAnsi="宋体"/>
          <w:color w:val="auto"/>
          <w:sz w:val="24"/>
          <w:highlight w:val="none"/>
        </w:rPr>
        <w:t>；</w:t>
      </w:r>
    </w:p>
    <w:p>
      <w:pPr>
        <w:wordWrap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5</w:t>
      </w:r>
      <w:r>
        <w:rPr>
          <w:rFonts w:ascii="宋体" w:hAnsi="宋体"/>
          <w:color w:val="auto"/>
          <w:sz w:val="24"/>
          <w:highlight w:val="none"/>
        </w:rPr>
        <w:t>、主动接受业主</w:t>
      </w:r>
      <w:r>
        <w:rPr>
          <w:rFonts w:hint="eastAsia" w:ascii="宋体" w:hAnsi="宋体"/>
          <w:color w:val="auto"/>
          <w:sz w:val="24"/>
          <w:highlight w:val="none"/>
        </w:rPr>
        <w:t>等</w:t>
      </w:r>
      <w:r>
        <w:rPr>
          <w:rFonts w:ascii="宋体" w:hAnsi="宋体"/>
          <w:color w:val="auto"/>
          <w:sz w:val="24"/>
          <w:highlight w:val="none"/>
        </w:rPr>
        <w:t>监督，如有违反，接受相应处罚，直至被追究法律责任。</w:t>
      </w:r>
    </w:p>
    <w:p>
      <w:pPr>
        <w:spacing w:line="580" w:lineRule="exact"/>
        <w:rPr>
          <w:rFonts w:ascii="新宋体" w:hAnsi="新宋体" w:eastAsia="新宋体"/>
          <w:color w:val="auto"/>
          <w:sz w:val="24"/>
          <w:highlight w:val="none"/>
        </w:rPr>
      </w:pPr>
    </w:p>
    <w:p>
      <w:pPr>
        <w:pStyle w:val="46"/>
        <w:rPr>
          <w:color w:val="auto"/>
          <w:highlight w:val="none"/>
        </w:rPr>
      </w:pPr>
    </w:p>
    <w:p>
      <w:pPr>
        <w:pStyle w:val="46"/>
        <w:rPr>
          <w:color w:val="auto"/>
          <w:highlight w:val="none"/>
        </w:rPr>
      </w:pPr>
    </w:p>
    <w:p>
      <w:pPr>
        <w:pStyle w:val="46"/>
        <w:rPr>
          <w:color w:val="auto"/>
          <w:highlight w:val="none"/>
        </w:rPr>
      </w:pPr>
    </w:p>
    <w:p>
      <w:pPr>
        <w:pStyle w:val="46"/>
        <w:rPr>
          <w:color w:val="auto"/>
          <w:highlight w:val="none"/>
        </w:rPr>
      </w:pPr>
    </w:p>
    <w:p>
      <w:pPr>
        <w:spacing w:line="580" w:lineRule="exact"/>
        <w:rPr>
          <w:rFonts w:ascii="新宋体" w:hAnsi="新宋体" w:eastAsia="新宋体"/>
          <w:color w:val="auto"/>
          <w:sz w:val="24"/>
          <w:highlight w:val="none"/>
        </w:rPr>
      </w:pPr>
      <w:r>
        <w:rPr>
          <w:rFonts w:ascii="新宋体" w:hAnsi="新宋体" w:eastAsia="新宋体"/>
          <w:color w:val="auto"/>
          <w:sz w:val="24"/>
          <w:highlight w:val="none"/>
        </w:rPr>
        <w:t>承诺单位（盖章）</w:t>
      </w:r>
      <w:r>
        <w:rPr>
          <w:rFonts w:hint="eastAsia" w:ascii="新宋体" w:hAnsi="新宋体" w:eastAsia="新宋体"/>
          <w:color w:val="auto"/>
          <w:sz w:val="24"/>
          <w:highlight w:val="none"/>
        </w:rPr>
        <w:t>：</w:t>
      </w:r>
    </w:p>
    <w:p>
      <w:pPr>
        <w:spacing w:line="580" w:lineRule="exact"/>
        <w:rPr>
          <w:rFonts w:ascii="新宋体" w:hAnsi="新宋体" w:eastAsia="新宋体"/>
          <w:color w:val="auto"/>
          <w:sz w:val="24"/>
          <w:highlight w:val="none"/>
        </w:rPr>
      </w:pPr>
      <w:r>
        <w:rPr>
          <w:rFonts w:ascii="新宋体" w:hAnsi="新宋体" w:eastAsia="新宋体"/>
          <w:color w:val="auto"/>
          <w:sz w:val="24"/>
          <w:highlight w:val="none"/>
        </w:rPr>
        <w:t>法定代表人（</w:t>
      </w:r>
      <w:r>
        <w:rPr>
          <w:rFonts w:hint="eastAsia" w:ascii="新宋体" w:hAnsi="新宋体" w:eastAsia="新宋体"/>
          <w:color w:val="auto"/>
          <w:sz w:val="24"/>
          <w:highlight w:val="none"/>
        </w:rPr>
        <w:t>签字或盖章</w:t>
      </w:r>
      <w:r>
        <w:rPr>
          <w:rFonts w:ascii="新宋体" w:hAnsi="新宋体" w:eastAsia="新宋体"/>
          <w:color w:val="auto"/>
          <w:sz w:val="24"/>
          <w:highlight w:val="none"/>
        </w:rPr>
        <w:t>）</w:t>
      </w:r>
      <w:r>
        <w:rPr>
          <w:rFonts w:hint="eastAsia" w:ascii="新宋体" w:hAnsi="新宋体" w:eastAsia="新宋体"/>
          <w:color w:val="auto"/>
          <w:sz w:val="24"/>
          <w:highlight w:val="none"/>
        </w:rPr>
        <w:t>：</w:t>
      </w:r>
    </w:p>
    <w:p>
      <w:pPr>
        <w:spacing w:line="580" w:lineRule="exact"/>
        <w:rPr>
          <w:rFonts w:ascii="新宋体" w:hAnsi="新宋体" w:eastAsia="新宋体"/>
          <w:color w:val="auto"/>
          <w:sz w:val="24"/>
          <w:highlight w:val="none"/>
        </w:rPr>
      </w:pPr>
      <w:r>
        <w:rPr>
          <w:rFonts w:ascii="新宋体" w:hAnsi="新宋体" w:eastAsia="新宋体"/>
          <w:color w:val="auto"/>
          <w:sz w:val="24"/>
          <w:highlight w:val="none"/>
        </w:rPr>
        <w:t>联系电话（手机号码）：</w:t>
      </w:r>
    </w:p>
    <w:p>
      <w:pPr>
        <w:spacing w:line="580" w:lineRule="exact"/>
        <w:ind w:firstLine="4204" w:firstLineChars="1752"/>
        <w:rPr>
          <w:rFonts w:ascii="新宋体" w:hAnsi="新宋体" w:eastAsia="新宋体"/>
          <w:color w:val="auto"/>
          <w:sz w:val="24"/>
          <w:highlight w:val="none"/>
        </w:rPr>
      </w:pPr>
      <w:r>
        <w:rPr>
          <w:rFonts w:ascii="新宋体" w:hAnsi="新宋体" w:eastAsia="新宋体"/>
          <w:color w:val="auto"/>
          <w:sz w:val="24"/>
          <w:highlight w:val="none"/>
        </w:rPr>
        <w:t xml:space="preserve">                   年   月   日</w:t>
      </w:r>
    </w:p>
    <w:p>
      <w:pPr>
        <w:jc w:val="center"/>
        <w:rPr>
          <w:rFonts w:ascii="宋体" w:hAnsi="宋体"/>
          <w:color w:val="auto"/>
          <w:sz w:val="24"/>
          <w:highlight w:val="none"/>
        </w:rPr>
      </w:pPr>
    </w:p>
    <w:p>
      <w:pPr>
        <w:spacing w:line="440" w:lineRule="exact"/>
        <w:ind w:firstLine="435"/>
        <w:rPr>
          <w:rFonts w:ascii="宋体" w:hAnsi="宋体"/>
          <w:color w:val="auto"/>
          <w:sz w:val="24"/>
          <w:highlight w:val="none"/>
        </w:rPr>
      </w:pPr>
    </w:p>
    <w:p>
      <w:pPr>
        <w:spacing w:line="440" w:lineRule="exact"/>
        <w:rPr>
          <w:b/>
          <w:color w:val="auto"/>
          <w:sz w:val="24"/>
          <w:highlight w:val="none"/>
        </w:rPr>
        <w:sectPr>
          <w:pgSz w:w="11906" w:h="16838"/>
          <w:pgMar w:top="1701" w:right="1376" w:bottom="1134" w:left="1710" w:header="851" w:footer="754" w:gutter="0"/>
          <w:cols w:space="720" w:num="1"/>
          <w:docGrid w:type="lines" w:linePitch="318" w:charSpace="0"/>
        </w:sectPr>
      </w:pPr>
      <w:r>
        <w:rPr>
          <w:rFonts w:hint="eastAsia" w:ascii="宋体" w:hAnsi="宋体"/>
          <w:b/>
          <w:color w:val="auto"/>
          <w:sz w:val="24"/>
          <w:highlight w:val="none"/>
        </w:rPr>
        <w:t>（注：此承诺书由参选人法定代表人亲笔签署或盖法定代表人的章，并加盖单位公章）</w:t>
      </w:r>
      <w:bookmarkStart w:id="38" w:name="_Toc346096038"/>
      <w:bookmarkStart w:id="39" w:name="_Toc323199452"/>
      <w:bookmarkStart w:id="40" w:name="_Toc344409279"/>
      <w:bookmarkStart w:id="41" w:name="_Toc344409075"/>
    </w:p>
    <w:p>
      <w:pPr>
        <w:jc w:val="center"/>
        <w:outlineLvl w:val="0"/>
        <w:rPr>
          <w:b/>
          <w:bCs/>
          <w:color w:val="auto"/>
          <w:sz w:val="32"/>
          <w:szCs w:val="32"/>
          <w:highlight w:val="none"/>
        </w:rPr>
      </w:pPr>
      <w:r>
        <w:rPr>
          <w:rFonts w:hint="eastAsia"/>
          <w:b/>
          <w:bCs/>
          <w:color w:val="auto"/>
          <w:sz w:val="32"/>
          <w:szCs w:val="32"/>
          <w:highlight w:val="none"/>
        </w:rPr>
        <w:t>3、开标一览表</w:t>
      </w:r>
      <w:bookmarkEnd w:id="38"/>
      <w:bookmarkEnd w:id="39"/>
      <w:bookmarkEnd w:id="40"/>
      <w:bookmarkEnd w:id="41"/>
    </w:p>
    <w:p>
      <w:pPr>
        <w:rPr>
          <w:rFonts w:ascii="宋体" w:hAnsi="宋体"/>
          <w:color w:val="auto"/>
          <w:sz w:val="24"/>
          <w:highlight w:val="none"/>
        </w:rPr>
      </w:pPr>
    </w:p>
    <w:p>
      <w:pPr>
        <w:rPr>
          <w:rFonts w:ascii="宋体" w:hAnsi="宋体"/>
          <w:color w:val="auto"/>
          <w:sz w:val="24"/>
          <w:highlight w:val="none"/>
        </w:rPr>
      </w:pPr>
      <w:r>
        <w:rPr>
          <w:rFonts w:hint="eastAsia" w:ascii="宋体" w:hAnsi="宋体"/>
          <w:color w:val="auto"/>
          <w:sz w:val="24"/>
          <w:highlight w:val="none"/>
        </w:rPr>
        <w:t xml:space="preserve">项目名称：                                            项目编号：   </w:t>
      </w:r>
    </w:p>
    <w:p>
      <w:pPr>
        <w:rPr>
          <w:rFonts w:ascii="宋体" w:hAnsi="宋体"/>
          <w:color w:val="auto"/>
          <w:sz w:val="24"/>
          <w:highlight w:val="none"/>
        </w:rPr>
      </w:pPr>
    </w:p>
    <w:tbl>
      <w:tblPr>
        <w:tblStyle w:val="26"/>
        <w:tblpPr w:leftFromText="180" w:rightFromText="180" w:vertAnchor="text" w:horzAnchor="page" w:tblpX="945" w:tblpY="34"/>
        <w:tblOverlap w:val="never"/>
        <w:tblW w:w="98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6"/>
        <w:gridCol w:w="1407"/>
        <w:gridCol w:w="795"/>
        <w:gridCol w:w="925"/>
        <w:gridCol w:w="3391"/>
        <w:gridCol w:w="999"/>
        <w:gridCol w:w="946"/>
        <w:gridCol w:w="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9" w:hRule="atLeast"/>
        </w:trPr>
        <w:tc>
          <w:tcPr>
            <w:tcW w:w="536" w:type="dxa"/>
            <w:noWrap/>
            <w:vAlign w:val="center"/>
          </w:tcPr>
          <w:p>
            <w:pPr>
              <w:jc w:val="center"/>
              <w:rPr>
                <w:rFonts w:ascii="宋体" w:hAnsi="宋体" w:cs="宋体"/>
                <w:color w:val="auto"/>
                <w:sz w:val="24"/>
                <w:highlight w:val="none"/>
              </w:rPr>
            </w:pPr>
            <w:r>
              <w:rPr>
                <w:rFonts w:hint="eastAsia" w:ascii="宋体" w:hAnsi="宋体" w:cs="宋体"/>
                <w:color w:val="auto"/>
                <w:sz w:val="24"/>
                <w:highlight w:val="none"/>
              </w:rPr>
              <w:t>序号</w:t>
            </w:r>
          </w:p>
          <w:p>
            <w:pPr>
              <w:jc w:val="center"/>
              <w:rPr>
                <w:rFonts w:ascii="宋体" w:hAnsi="宋体" w:cs="宋体"/>
                <w:color w:val="auto"/>
                <w:sz w:val="24"/>
                <w:highlight w:val="none"/>
              </w:rPr>
            </w:pPr>
          </w:p>
        </w:tc>
        <w:tc>
          <w:tcPr>
            <w:tcW w:w="1407" w:type="dxa"/>
            <w:noWrap/>
            <w:vAlign w:val="center"/>
          </w:tcPr>
          <w:p>
            <w:pPr>
              <w:jc w:val="center"/>
              <w:rPr>
                <w:rFonts w:ascii="宋体" w:hAnsi="宋体" w:cs="宋体"/>
                <w:color w:val="auto"/>
                <w:sz w:val="24"/>
                <w:highlight w:val="none"/>
              </w:rPr>
            </w:pPr>
            <w:r>
              <w:rPr>
                <w:rFonts w:hint="eastAsia" w:ascii="宋体" w:hAnsi="宋体" w:cs="宋体"/>
                <w:color w:val="auto"/>
                <w:sz w:val="24"/>
                <w:highlight w:val="none"/>
              </w:rPr>
              <w:t>项目名称</w:t>
            </w:r>
          </w:p>
        </w:tc>
        <w:tc>
          <w:tcPr>
            <w:tcW w:w="795" w:type="dxa"/>
            <w:noWrap/>
            <w:vAlign w:val="center"/>
          </w:tcPr>
          <w:p>
            <w:pPr>
              <w:jc w:val="center"/>
              <w:rPr>
                <w:rFonts w:ascii="宋体" w:hAnsi="宋体" w:cs="宋体"/>
                <w:color w:val="auto"/>
                <w:sz w:val="24"/>
                <w:highlight w:val="none"/>
              </w:rPr>
            </w:pPr>
            <w:r>
              <w:rPr>
                <w:rFonts w:hint="eastAsia" w:ascii="宋体" w:hAnsi="宋体" w:cs="宋体"/>
                <w:color w:val="auto"/>
                <w:sz w:val="24"/>
                <w:highlight w:val="none"/>
              </w:rPr>
              <w:t>数量</w:t>
            </w:r>
          </w:p>
        </w:tc>
        <w:tc>
          <w:tcPr>
            <w:tcW w:w="925" w:type="dxa"/>
            <w:noWrap/>
            <w:vAlign w:val="center"/>
          </w:tcPr>
          <w:p>
            <w:pPr>
              <w:jc w:val="center"/>
              <w:rPr>
                <w:rFonts w:ascii="宋体" w:hAnsi="宋体" w:cs="宋体"/>
                <w:color w:val="auto"/>
                <w:sz w:val="24"/>
                <w:highlight w:val="none"/>
              </w:rPr>
            </w:pPr>
            <w:r>
              <w:rPr>
                <w:rFonts w:hint="eastAsia" w:ascii="宋体" w:hAnsi="宋体" w:cs="宋体"/>
                <w:color w:val="auto"/>
                <w:sz w:val="24"/>
                <w:highlight w:val="none"/>
              </w:rPr>
              <w:t>单位</w:t>
            </w:r>
          </w:p>
        </w:tc>
        <w:tc>
          <w:tcPr>
            <w:tcW w:w="3391" w:type="dxa"/>
            <w:noWrap/>
            <w:vAlign w:val="center"/>
          </w:tcPr>
          <w:p>
            <w:pPr>
              <w:jc w:val="center"/>
              <w:rPr>
                <w:rFonts w:ascii="宋体" w:hAnsi="宋体" w:cs="宋体"/>
                <w:color w:val="auto"/>
                <w:sz w:val="24"/>
                <w:highlight w:val="none"/>
              </w:rPr>
            </w:pPr>
            <w:r>
              <w:rPr>
                <w:rFonts w:hint="eastAsia" w:ascii="宋体" w:hAnsi="宋体" w:cs="宋体"/>
                <w:color w:val="auto"/>
                <w:sz w:val="24"/>
                <w:highlight w:val="none"/>
              </w:rPr>
              <w:t>总报价</w:t>
            </w:r>
          </w:p>
        </w:tc>
        <w:tc>
          <w:tcPr>
            <w:tcW w:w="999" w:type="dxa"/>
            <w:noWrap/>
            <w:vAlign w:val="center"/>
          </w:tcPr>
          <w:p>
            <w:pPr>
              <w:jc w:val="center"/>
              <w:rPr>
                <w:rFonts w:ascii="宋体" w:hAnsi="宋体" w:cs="宋体"/>
                <w:color w:val="auto"/>
                <w:sz w:val="24"/>
                <w:highlight w:val="none"/>
              </w:rPr>
            </w:pPr>
            <w:r>
              <w:rPr>
                <w:rFonts w:hint="eastAsia" w:ascii="宋体" w:hAnsi="宋体" w:cs="宋体"/>
                <w:color w:val="auto"/>
                <w:sz w:val="24"/>
                <w:highlight w:val="none"/>
              </w:rPr>
              <w:t>工期</w:t>
            </w:r>
          </w:p>
        </w:tc>
        <w:tc>
          <w:tcPr>
            <w:tcW w:w="946" w:type="dxa"/>
            <w:noWrap/>
            <w:vAlign w:val="center"/>
          </w:tcPr>
          <w:p>
            <w:pPr>
              <w:jc w:val="center"/>
              <w:rPr>
                <w:rFonts w:ascii="宋体" w:hAnsi="宋体" w:cs="宋体"/>
                <w:color w:val="auto"/>
                <w:sz w:val="24"/>
                <w:highlight w:val="none"/>
              </w:rPr>
            </w:pPr>
            <w:r>
              <w:rPr>
                <w:rFonts w:hint="eastAsia" w:ascii="宋体" w:hAnsi="宋体" w:cs="宋体"/>
                <w:color w:val="auto"/>
                <w:sz w:val="24"/>
                <w:highlight w:val="none"/>
              </w:rPr>
              <w:t>施工</w:t>
            </w:r>
          </w:p>
          <w:p>
            <w:pPr>
              <w:jc w:val="center"/>
              <w:rPr>
                <w:rFonts w:ascii="宋体" w:hAnsi="宋体" w:cs="宋体"/>
                <w:color w:val="auto"/>
                <w:sz w:val="24"/>
                <w:highlight w:val="none"/>
              </w:rPr>
            </w:pPr>
            <w:r>
              <w:rPr>
                <w:rFonts w:hint="eastAsia" w:ascii="宋体" w:hAnsi="宋体" w:cs="宋体"/>
                <w:color w:val="auto"/>
                <w:sz w:val="24"/>
                <w:highlight w:val="none"/>
              </w:rPr>
              <w:t>地点</w:t>
            </w:r>
          </w:p>
        </w:tc>
        <w:tc>
          <w:tcPr>
            <w:tcW w:w="815" w:type="dxa"/>
            <w:noWrap/>
            <w:vAlign w:val="center"/>
          </w:tcPr>
          <w:p>
            <w:pPr>
              <w:jc w:val="center"/>
              <w:rPr>
                <w:rFonts w:ascii="宋体" w:hAnsi="宋体" w:cs="宋体"/>
                <w:color w:val="auto"/>
                <w:sz w:val="24"/>
                <w:highlight w:val="none"/>
              </w:rPr>
            </w:pPr>
            <w:r>
              <w:rPr>
                <w:rFonts w:hint="eastAsia" w:ascii="宋体" w:hAnsi="宋体" w:cs="宋体"/>
                <w:color w:val="auto"/>
                <w:sz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4" w:hRule="atLeast"/>
        </w:trPr>
        <w:tc>
          <w:tcPr>
            <w:tcW w:w="536" w:type="dxa"/>
            <w:noWrap/>
          </w:tcPr>
          <w:p>
            <w:pPr>
              <w:adjustRightInd w:val="0"/>
              <w:snapToGrid w:val="0"/>
              <w:spacing w:line="440" w:lineRule="exact"/>
              <w:jc w:val="center"/>
              <w:rPr>
                <w:rFonts w:ascii="宋体" w:hAnsi="宋体" w:cs="宋体"/>
                <w:bCs/>
                <w:snapToGrid w:val="0"/>
                <w:color w:val="auto"/>
                <w:kern w:val="0"/>
                <w:sz w:val="24"/>
                <w:highlight w:val="none"/>
              </w:rPr>
            </w:pPr>
          </w:p>
        </w:tc>
        <w:tc>
          <w:tcPr>
            <w:tcW w:w="1407" w:type="dxa"/>
            <w:noWrap/>
          </w:tcPr>
          <w:p>
            <w:pPr>
              <w:adjustRightInd w:val="0"/>
              <w:snapToGrid w:val="0"/>
              <w:spacing w:line="440" w:lineRule="exact"/>
              <w:jc w:val="center"/>
              <w:rPr>
                <w:rFonts w:ascii="宋体" w:hAnsi="宋体" w:cs="宋体"/>
                <w:bCs/>
                <w:snapToGrid w:val="0"/>
                <w:color w:val="auto"/>
                <w:kern w:val="0"/>
                <w:sz w:val="24"/>
                <w:highlight w:val="none"/>
              </w:rPr>
            </w:pPr>
          </w:p>
        </w:tc>
        <w:tc>
          <w:tcPr>
            <w:tcW w:w="795" w:type="dxa"/>
            <w:noWrap/>
          </w:tcPr>
          <w:p>
            <w:pPr>
              <w:adjustRightInd w:val="0"/>
              <w:snapToGrid w:val="0"/>
              <w:spacing w:line="440" w:lineRule="exact"/>
              <w:jc w:val="center"/>
              <w:rPr>
                <w:rFonts w:ascii="宋体" w:hAnsi="宋体" w:cs="宋体"/>
                <w:bCs/>
                <w:snapToGrid w:val="0"/>
                <w:color w:val="auto"/>
                <w:kern w:val="0"/>
                <w:sz w:val="24"/>
                <w:highlight w:val="none"/>
              </w:rPr>
            </w:pPr>
          </w:p>
        </w:tc>
        <w:tc>
          <w:tcPr>
            <w:tcW w:w="925" w:type="dxa"/>
            <w:noWrap/>
          </w:tcPr>
          <w:p>
            <w:pPr>
              <w:adjustRightInd w:val="0"/>
              <w:snapToGrid w:val="0"/>
              <w:spacing w:line="440" w:lineRule="exact"/>
              <w:jc w:val="center"/>
              <w:rPr>
                <w:rFonts w:ascii="宋体" w:hAnsi="宋体" w:cs="宋体"/>
                <w:bCs/>
                <w:snapToGrid w:val="0"/>
                <w:color w:val="auto"/>
                <w:kern w:val="0"/>
                <w:sz w:val="24"/>
                <w:highlight w:val="none"/>
              </w:rPr>
            </w:pPr>
          </w:p>
        </w:tc>
        <w:tc>
          <w:tcPr>
            <w:tcW w:w="3391" w:type="dxa"/>
            <w:noWrap/>
          </w:tcPr>
          <w:p>
            <w:pPr>
              <w:adjustRightInd w:val="0"/>
              <w:snapToGrid w:val="0"/>
              <w:spacing w:line="440" w:lineRule="exact"/>
              <w:jc w:val="center"/>
              <w:rPr>
                <w:rFonts w:ascii="宋体" w:hAnsi="宋体" w:cs="宋体"/>
                <w:bCs/>
                <w:snapToGrid w:val="0"/>
                <w:color w:val="auto"/>
                <w:kern w:val="0"/>
                <w:sz w:val="24"/>
                <w:highlight w:val="none"/>
              </w:rPr>
            </w:pPr>
          </w:p>
        </w:tc>
        <w:tc>
          <w:tcPr>
            <w:tcW w:w="999" w:type="dxa"/>
            <w:noWrap/>
          </w:tcPr>
          <w:p>
            <w:pPr>
              <w:adjustRightInd w:val="0"/>
              <w:snapToGrid w:val="0"/>
              <w:spacing w:line="440" w:lineRule="exact"/>
              <w:jc w:val="center"/>
              <w:rPr>
                <w:rFonts w:ascii="宋体" w:hAnsi="宋体" w:cs="宋体"/>
                <w:bCs/>
                <w:snapToGrid w:val="0"/>
                <w:color w:val="auto"/>
                <w:kern w:val="0"/>
                <w:sz w:val="24"/>
                <w:highlight w:val="none"/>
              </w:rPr>
            </w:pPr>
          </w:p>
        </w:tc>
        <w:tc>
          <w:tcPr>
            <w:tcW w:w="946" w:type="dxa"/>
            <w:noWrap/>
          </w:tcPr>
          <w:p>
            <w:pPr>
              <w:adjustRightInd w:val="0"/>
              <w:snapToGrid w:val="0"/>
              <w:spacing w:line="440" w:lineRule="exact"/>
              <w:jc w:val="center"/>
              <w:rPr>
                <w:rFonts w:ascii="宋体" w:hAnsi="宋体" w:cs="宋体"/>
                <w:bCs/>
                <w:snapToGrid w:val="0"/>
                <w:color w:val="auto"/>
                <w:kern w:val="0"/>
                <w:sz w:val="24"/>
                <w:highlight w:val="none"/>
              </w:rPr>
            </w:pPr>
          </w:p>
        </w:tc>
        <w:tc>
          <w:tcPr>
            <w:tcW w:w="815" w:type="dxa"/>
            <w:noWrap/>
          </w:tcPr>
          <w:p>
            <w:pPr>
              <w:adjustRightInd w:val="0"/>
              <w:snapToGrid w:val="0"/>
              <w:spacing w:line="440" w:lineRule="exact"/>
              <w:jc w:val="center"/>
              <w:rPr>
                <w:rFonts w:ascii="宋体" w:hAnsi="宋体" w:cs="宋体"/>
                <w:bCs/>
                <w:snapToGrid w:val="0"/>
                <w:color w:val="auto"/>
                <w:kern w:val="0"/>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6" w:hRule="atLeast"/>
        </w:trPr>
        <w:tc>
          <w:tcPr>
            <w:tcW w:w="9814" w:type="dxa"/>
            <w:gridSpan w:val="8"/>
            <w:noWrap/>
          </w:tcPr>
          <w:p>
            <w:pPr>
              <w:adjustRightInd w:val="0"/>
              <w:snapToGrid w:val="0"/>
              <w:spacing w:line="440" w:lineRule="exact"/>
              <w:rPr>
                <w:rFonts w:ascii="宋体" w:hAnsi="宋体" w:cs="宋体"/>
                <w:bCs/>
                <w:snapToGrid w:val="0"/>
                <w:color w:val="auto"/>
                <w:kern w:val="0"/>
                <w:sz w:val="24"/>
                <w:highlight w:val="none"/>
              </w:rPr>
            </w:pPr>
            <w:r>
              <w:rPr>
                <w:rFonts w:hint="eastAsia" w:ascii="宋体" w:hAnsi="宋体" w:cs="宋体"/>
                <w:bCs/>
                <w:snapToGrid w:val="0"/>
                <w:color w:val="auto"/>
                <w:kern w:val="0"/>
                <w:sz w:val="24"/>
                <w:highlight w:val="none"/>
              </w:rPr>
              <w:t>总价：（大写）                                      ￥：（小写）</w:t>
            </w:r>
          </w:p>
        </w:tc>
      </w:tr>
    </w:tbl>
    <w:p>
      <w:pPr>
        <w:pStyle w:val="46"/>
        <w:rPr>
          <w:color w:val="auto"/>
          <w:highlight w:val="none"/>
        </w:rPr>
      </w:pPr>
    </w:p>
    <w:p>
      <w:pPr>
        <w:spacing w:line="480" w:lineRule="auto"/>
        <w:jc w:val="right"/>
        <w:rPr>
          <w:rFonts w:ascii="宋体" w:hAnsi="宋体"/>
          <w:color w:val="auto"/>
          <w:sz w:val="24"/>
          <w:highlight w:val="none"/>
        </w:rPr>
      </w:pPr>
      <w:r>
        <w:rPr>
          <w:rFonts w:hint="eastAsia" w:ascii="宋体" w:hAnsi="宋体"/>
          <w:color w:val="auto"/>
          <w:sz w:val="24"/>
          <w:highlight w:val="none"/>
        </w:rPr>
        <w:t>参选人</w:t>
      </w:r>
      <w:r>
        <w:rPr>
          <w:rFonts w:ascii="宋体" w:hAnsi="宋体"/>
          <w:color w:val="auto"/>
          <w:sz w:val="24"/>
          <w:highlight w:val="none"/>
        </w:rPr>
        <w:t>：（盖单位章）</w:t>
      </w:r>
    </w:p>
    <w:p>
      <w:pPr>
        <w:spacing w:line="480" w:lineRule="auto"/>
        <w:jc w:val="right"/>
        <w:rPr>
          <w:rFonts w:ascii="宋体" w:hAnsi="宋体"/>
          <w:color w:val="auto"/>
          <w:sz w:val="24"/>
          <w:highlight w:val="none"/>
        </w:rPr>
      </w:pPr>
      <w:r>
        <w:rPr>
          <w:rFonts w:ascii="宋体" w:hAnsi="宋体"/>
          <w:color w:val="auto"/>
          <w:sz w:val="24"/>
          <w:highlight w:val="none"/>
        </w:rPr>
        <w:t>法定代表人或委托代理人：（</w:t>
      </w:r>
      <w:r>
        <w:rPr>
          <w:rFonts w:hint="eastAsia" w:ascii="宋体" w:hAnsi="宋体"/>
          <w:color w:val="auto"/>
          <w:sz w:val="24"/>
          <w:highlight w:val="none"/>
        </w:rPr>
        <w:t>签字或盖章）</w:t>
      </w:r>
    </w:p>
    <w:p>
      <w:pPr>
        <w:wordWrap w:val="0"/>
        <w:spacing w:line="480" w:lineRule="auto"/>
        <w:jc w:val="right"/>
        <w:rPr>
          <w:rFonts w:ascii="宋体" w:hAnsi="宋体"/>
          <w:color w:val="auto"/>
          <w:sz w:val="24"/>
          <w:highlight w:val="none"/>
        </w:rPr>
      </w:pPr>
    </w:p>
    <w:p>
      <w:pPr>
        <w:spacing w:line="480" w:lineRule="auto"/>
        <w:jc w:val="right"/>
        <w:rPr>
          <w:rFonts w:ascii="宋体" w:hAnsi="宋体"/>
          <w:color w:val="auto"/>
          <w:sz w:val="24"/>
          <w:highlight w:val="none"/>
        </w:rPr>
        <w:sectPr>
          <w:pgSz w:w="11906" w:h="16838"/>
          <w:pgMar w:top="1701" w:right="850" w:bottom="1134" w:left="850" w:header="851" w:footer="754" w:gutter="0"/>
          <w:cols w:space="720" w:num="1"/>
          <w:docGrid w:type="lines" w:linePitch="318" w:charSpace="0"/>
        </w:sectPr>
      </w:pPr>
      <w:r>
        <w:rPr>
          <w:rFonts w:ascii="宋体" w:hAnsi="宋体"/>
          <w:color w:val="auto"/>
          <w:sz w:val="24"/>
          <w:highlight w:val="none"/>
        </w:rPr>
        <w:t>日期：   年   月</w:t>
      </w:r>
      <w:r>
        <w:rPr>
          <w:rFonts w:hint="eastAsia" w:ascii="宋体" w:hAnsi="宋体"/>
          <w:color w:val="auto"/>
          <w:sz w:val="24"/>
          <w:highlight w:val="none"/>
        </w:rPr>
        <w:t xml:space="preserve">   日</w:t>
      </w:r>
    </w:p>
    <w:p>
      <w:pPr>
        <w:jc w:val="center"/>
        <w:outlineLvl w:val="0"/>
        <w:rPr>
          <w:b/>
          <w:bCs/>
          <w:color w:val="auto"/>
          <w:sz w:val="32"/>
          <w:szCs w:val="32"/>
          <w:highlight w:val="none"/>
        </w:rPr>
      </w:pPr>
      <w:r>
        <w:rPr>
          <w:rFonts w:hint="eastAsia"/>
          <w:b/>
          <w:bCs/>
          <w:color w:val="auto"/>
          <w:sz w:val="32"/>
          <w:szCs w:val="32"/>
          <w:highlight w:val="none"/>
        </w:rPr>
        <w:t>4、开标一览明细表</w:t>
      </w:r>
    </w:p>
    <w:p>
      <w:pPr>
        <w:rPr>
          <w:color w:val="auto"/>
          <w:sz w:val="24"/>
          <w:highlight w:val="none"/>
        </w:rPr>
      </w:pPr>
    </w:p>
    <w:p>
      <w:pPr>
        <w:ind w:firstLine="240" w:firstLineChars="100"/>
        <w:rPr>
          <w:color w:val="auto"/>
          <w:sz w:val="24"/>
          <w:highlight w:val="none"/>
        </w:rPr>
      </w:pPr>
      <w:r>
        <w:rPr>
          <w:rFonts w:hint="eastAsia"/>
          <w:color w:val="auto"/>
          <w:sz w:val="24"/>
          <w:highlight w:val="none"/>
        </w:rPr>
        <w:t xml:space="preserve">项目名称：                                    项目编号：               </w:t>
      </w:r>
    </w:p>
    <w:p>
      <w:pPr>
        <w:rPr>
          <w:color w:val="auto"/>
          <w:sz w:val="24"/>
          <w:highlight w:val="none"/>
        </w:rPr>
      </w:pPr>
    </w:p>
    <w:p>
      <w:pPr>
        <w:spacing w:line="480" w:lineRule="auto"/>
        <w:jc w:val="center"/>
        <w:rPr>
          <w:rFonts w:ascii="宋体" w:hAnsi="宋体"/>
          <w:color w:val="auto"/>
          <w:sz w:val="24"/>
          <w:highlight w:val="none"/>
        </w:rPr>
      </w:pPr>
    </w:p>
    <w:p>
      <w:pPr>
        <w:spacing w:line="480" w:lineRule="auto"/>
        <w:jc w:val="center"/>
        <w:rPr>
          <w:rFonts w:ascii="宋体" w:hAnsi="宋体"/>
          <w:color w:val="auto"/>
          <w:sz w:val="24"/>
          <w:highlight w:val="none"/>
        </w:rPr>
      </w:pPr>
      <w:r>
        <w:rPr>
          <w:rFonts w:hint="eastAsia" w:ascii="宋体" w:hAnsi="宋体"/>
          <w:color w:val="auto"/>
          <w:sz w:val="24"/>
          <w:highlight w:val="none"/>
        </w:rPr>
        <w:t>根据招标人提供的招标要约价，响应即可。</w:t>
      </w:r>
    </w:p>
    <w:p>
      <w:pPr>
        <w:spacing w:line="480" w:lineRule="auto"/>
        <w:jc w:val="right"/>
        <w:rPr>
          <w:rFonts w:ascii="宋体" w:hAnsi="宋体"/>
          <w:color w:val="auto"/>
          <w:sz w:val="24"/>
          <w:highlight w:val="none"/>
        </w:rPr>
      </w:pPr>
    </w:p>
    <w:p>
      <w:pPr>
        <w:spacing w:line="480" w:lineRule="auto"/>
        <w:jc w:val="right"/>
        <w:rPr>
          <w:rFonts w:ascii="宋体" w:hAnsi="宋体"/>
          <w:color w:val="auto"/>
          <w:sz w:val="24"/>
          <w:highlight w:val="none"/>
        </w:rPr>
      </w:pPr>
    </w:p>
    <w:p>
      <w:pPr>
        <w:spacing w:line="480" w:lineRule="auto"/>
        <w:jc w:val="right"/>
        <w:rPr>
          <w:rFonts w:ascii="宋体" w:hAnsi="宋体"/>
          <w:color w:val="auto"/>
          <w:sz w:val="24"/>
          <w:highlight w:val="none"/>
        </w:rPr>
      </w:pPr>
    </w:p>
    <w:p>
      <w:pPr>
        <w:spacing w:line="480" w:lineRule="auto"/>
        <w:jc w:val="right"/>
        <w:rPr>
          <w:rFonts w:ascii="宋体" w:hAnsi="宋体"/>
          <w:color w:val="auto"/>
          <w:sz w:val="24"/>
          <w:highlight w:val="none"/>
        </w:rPr>
      </w:pPr>
    </w:p>
    <w:p>
      <w:pPr>
        <w:spacing w:line="480" w:lineRule="auto"/>
        <w:jc w:val="right"/>
        <w:rPr>
          <w:rFonts w:ascii="宋体" w:hAnsi="宋体"/>
          <w:color w:val="auto"/>
          <w:sz w:val="24"/>
          <w:highlight w:val="none"/>
        </w:rPr>
      </w:pPr>
      <w:r>
        <w:rPr>
          <w:rFonts w:hint="eastAsia" w:ascii="宋体" w:hAnsi="宋体"/>
          <w:color w:val="auto"/>
          <w:sz w:val="24"/>
          <w:highlight w:val="none"/>
        </w:rPr>
        <w:t>参选人</w:t>
      </w:r>
      <w:r>
        <w:rPr>
          <w:rFonts w:ascii="宋体" w:hAnsi="宋体"/>
          <w:color w:val="auto"/>
          <w:sz w:val="24"/>
          <w:highlight w:val="none"/>
        </w:rPr>
        <w:t>：（盖单位章）</w:t>
      </w:r>
    </w:p>
    <w:p>
      <w:pPr>
        <w:spacing w:line="480" w:lineRule="auto"/>
        <w:jc w:val="right"/>
        <w:rPr>
          <w:rFonts w:ascii="宋体" w:hAnsi="宋体"/>
          <w:color w:val="auto"/>
          <w:sz w:val="24"/>
          <w:highlight w:val="none"/>
        </w:rPr>
      </w:pPr>
      <w:r>
        <w:rPr>
          <w:rFonts w:ascii="宋体" w:hAnsi="宋体"/>
          <w:color w:val="auto"/>
          <w:sz w:val="24"/>
          <w:highlight w:val="none"/>
        </w:rPr>
        <w:t>法定代表人或委托代理人：（</w:t>
      </w:r>
      <w:r>
        <w:rPr>
          <w:rFonts w:hint="eastAsia" w:ascii="宋体" w:hAnsi="宋体"/>
          <w:color w:val="auto"/>
          <w:sz w:val="24"/>
          <w:highlight w:val="none"/>
        </w:rPr>
        <w:t>签字或盖章）</w:t>
      </w:r>
    </w:p>
    <w:p>
      <w:pPr>
        <w:spacing w:line="480" w:lineRule="auto"/>
        <w:jc w:val="right"/>
        <w:rPr>
          <w:rFonts w:ascii="宋体" w:hAnsi="宋体"/>
          <w:color w:val="auto"/>
          <w:sz w:val="24"/>
          <w:highlight w:val="none"/>
        </w:rPr>
      </w:pPr>
      <w:r>
        <w:rPr>
          <w:rFonts w:ascii="宋体" w:hAnsi="宋体"/>
          <w:color w:val="auto"/>
          <w:sz w:val="24"/>
          <w:highlight w:val="none"/>
        </w:rPr>
        <w:t>日期：   年    月    日</w:t>
      </w:r>
    </w:p>
    <w:p>
      <w:pPr>
        <w:pStyle w:val="48"/>
        <w:rPr>
          <w:rFonts w:ascii="宋体" w:hAnsi="宋体"/>
          <w:color w:val="auto"/>
          <w:highlight w:val="none"/>
        </w:rPr>
      </w:pPr>
    </w:p>
    <w:p>
      <w:pPr>
        <w:jc w:val="center"/>
        <w:outlineLvl w:val="0"/>
        <w:rPr>
          <w:b/>
          <w:bCs/>
          <w:color w:val="auto"/>
          <w:sz w:val="32"/>
          <w:szCs w:val="32"/>
          <w:highlight w:val="none"/>
        </w:rPr>
      </w:pPr>
    </w:p>
    <w:p>
      <w:pPr>
        <w:jc w:val="center"/>
        <w:outlineLvl w:val="0"/>
        <w:rPr>
          <w:b/>
          <w:bCs/>
          <w:color w:val="auto"/>
          <w:sz w:val="32"/>
          <w:szCs w:val="32"/>
          <w:highlight w:val="none"/>
        </w:rPr>
      </w:pPr>
    </w:p>
    <w:p>
      <w:pPr>
        <w:jc w:val="center"/>
        <w:outlineLvl w:val="0"/>
        <w:rPr>
          <w:b/>
          <w:bCs/>
          <w:color w:val="auto"/>
          <w:sz w:val="32"/>
          <w:szCs w:val="32"/>
          <w:highlight w:val="none"/>
        </w:rPr>
      </w:pPr>
    </w:p>
    <w:p>
      <w:pPr>
        <w:jc w:val="center"/>
        <w:outlineLvl w:val="0"/>
        <w:rPr>
          <w:b/>
          <w:bCs/>
          <w:color w:val="auto"/>
          <w:sz w:val="32"/>
          <w:szCs w:val="32"/>
          <w:highlight w:val="none"/>
        </w:rPr>
      </w:pPr>
    </w:p>
    <w:p>
      <w:pPr>
        <w:jc w:val="center"/>
        <w:outlineLvl w:val="0"/>
        <w:rPr>
          <w:b/>
          <w:bCs/>
          <w:color w:val="auto"/>
          <w:sz w:val="32"/>
          <w:szCs w:val="32"/>
          <w:highlight w:val="none"/>
        </w:rPr>
      </w:pPr>
    </w:p>
    <w:p>
      <w:pPr>
        <w:jc w:val="center"/>
        <w:outlineLvl w:val="0"/>
        <w:rPr>
          <w:b/>
          <w:bCs/>
          <w:color w:val="auto"/>
          <w:sz w:val="32"/>
          <w:szCs w:val="32"/>
          <w:highlight w:val="none"/>
        </w:rPr>
      </w:pPr>
    </w:p>
    <w:p>
      <w:pPr>
        <w:jc w:val="center"/>
        <w:outlineLvl w:val="0"/>
        <w:rPr>
          <w:b/>
          <w:bCs/>
          <w:color w:val="auto"/>
          <w:sz w:val="32"/>
          <w:szCs w:val="32"/>
          <w:highlight w:val="none"/>
        </w:rPr>
      </w:pPr>
    </w:p>
    <w:p>
      <w:pPr>
        <w:outlineLvl w:val="0"/>
        <w:rPr>
          <w:b/>
          <w:bCs/>
          <w:color w:val="auto"/>
          <w:sz w:val="32"/>
          <w:szCs w:val="32"/>
          <w:highlight w:val="none"/>
        </w:rPr>
      </w:pPr>
    </w:p>
    <w:p>
      <w:pPr>
        <w:pStyle w:val="2"/>
        <w:rPr>
          <w:b/>
          <w:bCs/>
          <w:color w:val="auto"/>
          <w:sz w:val="32"/>
          <w:szCs w:val="32"/>
          <w:highlight w:val="none"/>
        </w:rPr>
      </w:pPr>
    </w:p>
    <w:p>
      <w:pPr>
        <w:jc w:val="center"/>
        <w:outlineLvl w:val="0"/>
        <w:rPr>
          <w:b/>
          <w:bCs/>
          <w:color w:val="auto"/>
          <w:sz w:val="32"/>
          <w:szCs w:val="32"/>
          <w:highlight w:val="none"/>
        </w:rPr>
      </w:pPr>
    </w:p>
    <w:p>
      <w:pPr>
        <w:jc w:val="center"/>
        <w:outlineLvl w:val="0"/>
        <w:rPr>
          <w:b/>
          <w:bCs/>
          <w:color w:val="auto"/>
          <w:sz w:val="32"/>
          <w:szCs w:val="32"/>
          <w:highlight w:val="none"/>
        </w:rPr>
      </w:pPr>
      <w:r>
        <w:rPr>
          <w:rFonts w:hint="eastAsia"/>
          <w:b/>
          <w:bCs/>
          <w:color w:val="auto"/>
          <w:sz w:val="32"/>
          <w:szCs w:val="32"/>
          <w:highlight w:val="none"/>
        </w:rPr>
        <w:t>5、服务需求响应/偏离表</w:t>
      </w:r>
    </w:p>
    <w:p>
      <w:pPr>
        <w:pStyle w:val="12"/>
        <w:rPr>
          <w:color w:val="auto"/>
          <w:sz w:val="24"/>
          <w:highlight w:val="none"/>
        </w:rPr>
      </w:pPr>
    </w:p>
    <w:p>
      <w:pPr>
        <w:ind w:firstLine="240" w:firstLineChars="100"/>
        <w:rPr>
          <w:color w:val="auto"/>
          <w:sz w:val="24"/>
          <w:highlight w:val="none"/>
        </w:rPr>
      </w:pPr>
      <w:r>
        <w:rPr>
          <w:rFonts w:hint="eastAsia"/>
          <w:color w:val="auto"/>
          <w:sz w:val="24"/>
          <w:highlight w:val="none"/>
        </w:rPr>
        <w:t>项目名称：                                            项目编号：</w:t>
      </w:r>
    </w:p>
    <w:tbl>
      <w:tblPr>
        <w:tblStyle w:val="26"/>
        <w:tblW w:w="99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3"/>
        <w:gridCol w:w="2184"/>
        <w:gridCol w:w="2184"/>
        <w:gridCol w:w="2184"/>
        <w:gridCol w:w="2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9" w:hRule="atLeast"/>
          <w:jc w:val="center"/>
        </w:trPr>
        <w:tc>
          <w:tcPr>
            <w:tcW w:w="1243" w:type="dxa"/>
            <w:noWrap/>
            <w:vAlign w:val="center"/>
          </w:tcPr>
          <w:p>
            <w:pPr>
              <w:pStyle w:val="6"/>
              <w:spacing w:line="300" w:lineRule="atLeast"/>
              <w:jc w:val="center"/>
              <w:rPr>
                <w:b w:val="0"/>
                <w:bCs w:val="0"/>
                <w:color w:val="auto"/>
                <w:sz w:val="24"/>
                <w:szCs w:val="24"/>
                <w:highlight w:val="none"/>
              </w:rPr>
            </w:pPr>
            <w:r>
              <w:rPr>
                <w:rFonts w:hint="eastAsia"/>
                <w:b w:val="0"/>
                <w:bCs w:val="0"/>
                <w:color w:val="auto"/>
                <w:sz w:val="24"/>
                <w:szCs w:val="24"/>
                <w:highlight w:val="none"/>
              </w:rPr>
              <w:t>序号</w:t>
            </w:r>
          </w:p>
        </w:tc>
        <w:tc>
          <w:tcPr>
            <w:tcW w:w="2184" w:type="dxa"/>
            <w:noWrap/>
            <w:vAlign w:val="center"/>
          </w:tcPr>
          <w:p>
            <w:pPr>
              <w:pStyle w:val="6"/>
              <w:spacing w:line="300" w:lineRule="atLeast"/>
              <w:jc w:val="center"/>
              <w:rPr>
                <w:b w:val="0"/>
                <w:bCs w:val="0"/>
                <w:color w:val="auto"/>
                <w:sz w:val="24"/>
                <w:szCs w:val="24"/>
                <w:highlight w:val="none"/>
              </w:rPr>
            </w:pPr>
            <w:r>
              <w:rPr>
                <w:rFonts w:hint="eastAsia"/>
                <w:b w:val="0"/>
                <w:bCs w:val="0"/>
                <w:color w:val="auto"/>
                <w:sz w:val="24"/>
                <w:szCs w:val="24"/>
                <w:highlight w:val="none"/>
              </w:rPr>
              <w:t>比选文件服务需求条款</w:t>
            </w:r>
          </w:p>
        </w:tc>
        <w:tc>
          <w:tcPr>
            <w:tcW w:w="2184" w:type="dxa"/>
            <w:noWrap/>
            <w:vAlign w:val="center"/>
          </w:tcPr>
          <w:p>
            <w:pPr>
              <w:pStyle w:val="6"/>
              <w:spacing w:line="300" w:lineRule="atLeast"/>
              <w:jc w:val="center"/>
              <w:rPr>
                <w:b w:val="0"/>
                <w:bCs w:val="0"/>
                <w:color w:val="auto"/>
                <w:sz w:val="24"/>
                <w:szCs w:val="24"/>
                <w:highlight w:val="none"/>
              </w:rPr>
            </w:pPr>
            <w:r>
              <w:rPr>
                <w:rFonts w:hint="eastAsia"/>
                <w:b w:val="0"/>
                <w:bCs w:val="0"/>
                <w:color w:val="auto"/>
                <w:sz w:val="24"/>
                <w:szCs w:val="24"/>
                <w:highlight w:val="none"/>
              </w:rPr>
              <w:t>参选文件实际服务内容及响应</w:t>
            </w:r>
          </w:p>
        </w:tc>
        <w:tc>
          <w:tcPr>
            <w:tcW w:w="2184" w:type="dxa"/>
            <w:noWrap/>
            <w:vAlign w:val="center"/>
          </w:tcPr>
          <w:p>
            <w:pPr>
              <w:pStyle w:val="6"/>
              <w:spacing w:line="300" w:lineRule="atLeast"/>
              <w:jc w:val="center"/>
              <w:rPr>
                <w:b w:val="0"/>
                <w:bCs w:val="0"/>
                <w:color w:val="auto"/>
                <w:sz w:val="24"/>
                <w:szCs w:val="24"/>
                <w:highlight w:val="none"/>
              </w:rPr>
            </w:pPr>
            <w:r>
              <w:rPr>
                <w:rFonts w:hint="eastAsia"/>
                <w:b w:val="0"/>
                <w:bCs w:val="0"/>
                <w:color w:val="auto"/>
                <w:sz w:val="24"/>
                <w:szCs w:val="24"/>
                <w:highlight w:val="none"/>
              </w:rPr>
              <w:t>响应/偏离</w:t>
            </w:r>
          </w:p>
        </w:tc>
        <w:tc>
          <w:tcPr>
            <w:tcW w:w="2184" w:type="dxa"/>
            <w:noWrap/>
            <w:vAlign w:val="center"/>
          </w:tcPr>
          <w:p>
            <w:pPr>
              <w:pStyle w:val="6"/>
              <w:spacing w:line="300" w:lineRule="atLeast"/>
              <w:jc w:val="center"/>
              <w:rPr>
                <w:b w:val="0"/>
                <w:bCs w:val="0"/>
                <w:color w:val="auto"/>
                <w:sz w:val="24"/>
                <w:szCs w:val="24"/>
                <w:highlight w:val="none"/>
              </w:rPr>
            </w:pPr>
            <w:r>
              <w:rPr>
                <w:rFonts w:hint="eastAsia"/>
                <w:b w:val="0"/>
                <w:bCs w:val="0"/>
                <w:color w:val="auto"/>
                <w:sz w:val="24"/>
                <w:szCs w:val="24"/>
                <w:highlight w:val="none"/>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8" w:hRule="atLeast"/>
          <w:jc w:val="center"/>
        </w:trPr>
        <w:tc>
          <w:tcPr>
            <w:tcW w:w="1243" w:type="dxa"/>
            <w:noWrap/>
            <w:vAlign w:val="center"/>
          </w:tcPr>
          <w:p>
            <w:pPr>
              <w:pStyle w:val="6"/>
              <w:spacing w:line="300" w:lineRule="atLeast"/>
              <w:jc w:val="center"/>
              <w:rPr>
                <w:b w:val="0"/>
                <w:bCs w:val="0"/>
                <w:color w:val="auto"/>
                <w:sz w:val="24"/>
                <w:szCs w:val="24"/>
                <w:highlight w:val="none"/>
              </w:rPr>
            </w:pPr>
            <w:r>
              <w:rPr>
                <w:rFonts w:hint="eastAsia"/>
                <w:b w:val="0"/>
                <w:bCs w:val="0"/>
                <w:color w:val="auto"/>
                <w:sz w:val="24"/>
                <w:szCs w:val="24"/>
                <w:highlight w:val="none"/>
              </w:rPr>
              <w:t>1</w:t>
            </w:r>
          </w:p>
        </w:tc>
        <w:tc>
          <w:tcPr>
            <w:tcW w:w="2184" w:type="dxa"/>
            <w:noWrap/>
            <w:vAlign w:val="center"/>
          </w:tcPr>
          <w:p>
            <w:pPr>
              <w:pStyle w:val="6"/>
              <w:spacing w:line="300" w:lineRule="atLeast"/>
              <w:jc w:val="center"/>
              <w:rPr>
                <w:b w:val="0"/>
                <w:bCs w:val="0"/>
                <w:color w:val="auto"/>
                <w:sz w:val="24"/>
                <w:szCs w:val="24"/>
                <w:highlight w:val="none"/>
              </w:rPr>
            </w:pPr>
          </w:p>
        </w:tc>
        <w:tc>
          <w:tcPr>
            <w:tcW w:w="2184" w:type="dxa"/>
            <w:noWrap/>
            <w:vAlign w:val="center"/>
          </w:tcPr>
          <w:p>
            <w:pPr>
              <w:pStyle w:val="6"/>
              <w:spacing w:line="300" w:lineRule="atLeast"/>
              <w:jc w:val="center"/>
              <w:rPr>
                <w:b w:val="0"/>
                <w:bCs w:val="0"/>
                <w:color w:val="auto"/>
                <w:sz w:val="24"/>
                <w:szCs w:val="24"/>
                <w:highlight w:val="none"/>
              </w:rPr>
            </w:pPr>
          </w:p>
        </w:tc>
        <w:tc>
          <w:tcPr>
            <w:tcW w:w="2184" w:type="dxa"/>
            <w:noWrap/>
            <w:vAlign w:val="center"/>
          </w:tcPr>
          <w:p>
            <w:pPr>
              <w:pStyle w:val="6"/>
              <w:spacing w:line="300" w:lineRule="atLeast"/>
              <w:jc w:val="center"/>
              <w:rPr>
                <w:b w:val="0"/>
                <w:bCs w:val="0"/>
                <w:color w:val="auto"/>
                <w:sz w:val="24"/>
                <w:szCs w:val="24"/>
                <w:highlight w:val="none"/>
              </w:rPr>
            </w:pPr>
          </w:p>
        </w:tc>
        <w:tc>
          <w:tcPr>
            <w:tcW w:w="2184" w:type="dxa"/>
            <w:noWrap/>
            <w:vAlign w:val="center"/>
          </w:tcPr>
          <w:p>
            <w:pPr>
              <w:pStyle w:val="6"/>
              <w:spacing w:line="300" w:lineRule="atLeast"/>
              <w:jc w:val="center"/>
              <w:rPr>
                <w:b w:val="0"/>
                <w:bCs w:val="0"/>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8" w:hRule="atLeast"/>
          <w:jc w:val="center"/>
        </w:trPr>
        <w:tc>
          <w:tcPr>
            <w:tcW w:w="1243" w:type="dxa"/>
            <w:noWrap/>
            <w:vAlign w:val="center"/>
          </w:tcPr>
          <w:p>
            <w:pPr>
              <w:pStyle w:val="6"/>
              <w:spacing w:line="300" w:lineRule="atLeast"/>
              <w:jc w:val="center"/>
              <w:rPr>
                <w:b w:val="0"/>
                <w:bCs w:val="0"/>
                <w:color w:val="auto"/>
                <w:sz w:val="24"/>
                <w:szCs w:val="24"/>
                <w:highlight w:val="none"/>
              </w:rPr>
            </w:pPr>
            <w:r>
              <w:rPr>
                <w:rFonts w:hint="eastAsia"/>
                <w:b w:val="0"/>
                <w:bCs w:val="0"/>
                <w:color w:val="auto"/>
                <w:sz w:val="24"/>
                <w:szCs w:val="24"/>
                <w:highlight w:val="none"/>
              </w:rPr>
              <w:t>2</w:t>
            </w:r>
          </w:p>
        </w:tc>
        <w:tc>
          <w:tcPr>
            <w:tcW w:w="2184" w:type="dxa"/>
            <w:noWrap/>
            <w:vAlign w:val="center"/>
          </w:tcPr>
          <w:p>
            <w:pPr>
              <w:pStyle w:val="6"/>
              <w:spacing w:line="300" w:lineRule="atLeast"/>
              <w:jc w:val="center"/>
              <w:rPr>
                <w:b w:val="0"/>
                <w:bCs w:val="0"/>
                <w:color w:val="auto"/>
                <w:sz w:val="24"/>
                <w:szCs w:val="24"/>
                <w:highlight w:val="none"/>
              </w:rPr>
            </w:pPr>
          </w:p>
        </w:tc>
        <w:tc>
          <w:tcPr>
            <w:tcW w:w="2184" w:type="dxa"/>
            <w:noWrap/>
            <w:vAlign w:val="center"/>
          </w:tcPr>
          <w:p>
            <w:pPr>
              <w:pStyle w:val="6"/>
              <w:spacing w:line="300" w:lineRule="atLeast"/>
              <w:jc w:val="center"/>
              <w:rPr>
                <w:b w:val="0"/>
                <w:bCs w:val="0"/>
                <w:color w:val="auto"/>
                <w:sz w:val="24"/>
                <w:szCs w:val="24"/>
                <w:highlight w:val="none"/>
              </w:rPr>
            </w:pPr>
          </w:p>
        </w:tc>
        <w:tc>
          <w:tcPr>
            <w:tcW w:w="2184" w:type="dxa"/>
            <w:noWrap/>
            <w:vAlign w:val="center"/>
          </w:tcPr>
          <w:p>
            <w:pPr>
              <w:pStyle w:val="6"/>
              <w:spacing w:line="300" w:lineRule="atLeast"/>
              <w:jc w:val="center"/>
              <w:rPr>
                <w:b w:val="0"/>
                <w:bCs w:val="0"/>
                <w:color w:val="auto"/>
                <w:sz w:val="24"/>
                <w:szCs w:val="24"/>
                <w:highlight w:val="none"/>
              </w:rPr>
            </w:pPr>
          </w:p>
        </w:tc>
        <w:tc>
          <w:tcPr>
            <w:tcW w:w="2184" w:type="dxa"/>
            <w:noWrap/>
            <w:vAlign w:val="center"/>
          </w:tcPr>
          <w:p>
            <w:pPr>
              <w:pStyle w:val="6"/>
              <w:spacing w:line="300" w:lineRule="atLeast"/>
              <w:jc w:val="center"/>
              <w:rPr>
                <w:b w:val="0"/>
                <w:bCs w:val="0"/>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8" w:hRule="atLeast"/>
          <w:jc w:val="center"/>
        </w:trPr>
        <w:tc>
          <w:tcPr>
            <w:tcW w:w="1243" w:type="dxa"/>
            <w:noWrap/>
            <w:vAlign w:val="center"/>
          </w:tcPr>
          <w:p>
            <w:pPr>
              <w:pStyle w:val="6"/>
              <w:spacing w:line="300" w:lineRule="atLeast"/>
              <w:jc w:val="center"/>
              <w:rPr>
                <w:b w:val="0"/>
                <w:bCs w:val="0"/>
                <w:color w:val="auto"/>
                <w:sz w:val="24"/>
                <w:szCs w:val="24"/>
                <w:highlight w:val="none"/>
              </w:rPr>
            </w:pPr>
            <w:r>
              <w:rPr>
                <w:rFonts w:hint="eastAsia"/>
                <w:b w:val="0"/>
                <w:bCs w:val="0"/>
                <w:color w:val="auto"/>
                <w:sz w:val="24"/>
                <w:szCs w:val="24"/>
                <w:highlight w:val="none"/>
              </w:rPr>
              <w:t>3</w:t>
            </w:r>
          </w:p>
        </w:tc>
        <w:tc>
          <w:tcPr>
            <w:tcW w:w="2184" w:type="dxa"/>
            <w:noWrap/>
            <w:vAlign w:val="center"/>
          </w:tcPr>
          <w:p>
            <w:pPr>
              <w:pStyle w:val="6"/>
              <w:spacing w:line="300" w:lineRule="atLeast"/>
              <w:jc w:val="center"/>
              <w:rPr>
                <w:b w:val="0"/>
                <w:bCs w:val="0"/>
                <w:color w:val="auto"/>
                <w:sz w:val="24"/>
                <w:szCs w:val="24"/>
                <w:highlight w:val="none"/>
              </w:rPr>
            </w:pPr>
          </w:p>
        </w:tc>
        <w:tc>
          <w:tcPr>
            <w:tcW w:w="2184" w:type="dxa"/>
            <w:noWrap/>
            <w:vAlign w:val="center"/>
          </w:tcPr>
          <w:p>
            <w:pPr>
              <w:pStyle w:val="6"/>
              <w:spacing w:line="300" w:lineRule="atLeast"/>
              <w:jc w:val="center"/>
              <w:rPr>
                <w:b w:val="0"/>
                <w:bCs w:val="0"/>
                <w:color w:val="auto"/>
                <w:sz w:val="24"/>
                <w:szCs w:val="24"/>
                <w:highlight w:val="none"/>
              </w:rPr>
            </w:pPr>
          </w:p>
        </w:tc>
        <w:tc>
          <w:tcPr>
            <w:tcW w:w="2184" w:type="dxa"/>
            <w:noWrap/>
            <w:vAlign w:val="center"/>
          </w:tcPr>
          <w:p>
            <w:pPr>
              <w:pStyle w:val="6"/>
              <w:spacing w:line="300" w:lineRule="atLeast"/>
              <w:jc w:val="center"/>
              <w:rPr>
                <w:b w:val="0"/>
                <w:bCs w:val="0"/>
                <w:color w:val="auto"/>
                <w:sz w:val="24"/>
                <w:szCs w:val="24"/>
                <w:highlight w:val="none"/>
              </w:rPr>
            </w:pPr>
          </w:p>
        </w:tc>
        <w:tc>
          <w:tcPr>
            <w:tcW w:w="2184" w:type="dxa"/>
            <w:noWrap/>
            <w:vAlign w:val="center"/>
          </w:tcPr>
          <w:p>
            <w:pPr>
              <w:pStyle w:val="6"/>
              <w:spacing w:line="300" w:lineRule="atLeast"/>
              <w:jc w:val="center"/>
              <w:rPr>
                <w:b w:val="0"/>
                <w:bCs w:val="0"/>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1243" w:type="dxa"/>
            <w:noWrap/>
            <w:vAlign w:val="center"/>
          </w:tcPr>
          <w:p>
            <w:pPr>
              <w:pStyle w:val="6"/>
              <w:spacing w:line="300" w:lineRule="atLeast"/>
              <w:jc w:val="center"/>
              <w:rPr>
                <w:b w:val="0"/>
                <w:bCs w:val="0"/>
                <w:color w:val="auto"/>
                <w:sz w:val="24"/>
                <w:szCs w:val="24"/>
                <w:highlight w:val="none"/>
              </w:rPr>
            </w:pPr>
            <w:r>
              <w:rPr>
                <w:rFonts w:hint="eastAsia"/>
                <w:b w:val="0"/>
                <w:bCs w:val="0"/>
                <w:color w:val="auto"/>
                <w:sz w:val="24"/>
                <w:szCs w:val="24"/>
                <w:highlight w:val="none"/>
              </w:rPr>
              <w:t>．．．</w:t>
            </w:r>
          </w:p>
        </w:tc>
        <w:tc>
          <w:tcPr>
            <w:tcW w:w="2184" w:type="dxa"/>
            <w:noWrap/>
            <w:vAlign w:val="center"/>
          </w:tcPr>
          <w:p>
            <w:pPr>
              <w:pStyle w:val="6"/>
              <w:spacing w:line="300" w:lineRule="atLeast"/>
              <w:jc w:val="center"/>
              <w:rPr>
                <w:b w:val="0"/>
                <w:bCs w:val="0"/>
                <w:color w:val="auto"/>
                <w:sz w:val="24"/>
                <w:szCs w:val="24"/>
                <w:highlight w:val="none"/>
              </w:rPr>
            </w:pPr>
          </w:p>
        </w:tc>
        <w:tc>
          <w:tcPr>
            <w:tcW w:w="2184" w:type="dxa"/>
            <w:noWrap/>
            <w:vAlign w:val="center"/>
          </w:tcPr>
          <w:p>
            <w:pPr>
              <w:pStyle w:val="6"/>
              <w:spacing w:line="300" w:lineRule="atLeast"/>
              <w:jc w:val="center"/>
              <w:rPr>
                <w:b w:val="0"/>
                <w:bCs w:val="0"/>
                <w:color w:val="auto"/>
                <w:sz w:val="24"/>
                <w:szCs w:val="24"/>
                <w:highlight w:val="none"/>
              </w:rPr>
            </w:pPr>
          </w:p>
        </w:tc>
        <w:tc>
          <w:tcPr>
            <w:tcW w:w="2184" w:type="dxa"/>
            <w:noWrap/>
            <w:vAlign w:val="center"/>
          </w:tcPr>
          <w:p>
            <w:pPr>
              <w:pStyle w:val="6"/>
              <w:spacing w:line="300" w:lineRule="atLeast"/>
              <w:jc w:val="center"/>
              <w:rPr>
                <w:b w:val="0"/>
                <w:bCs w:val="0"/>
                <w:color w:val="auto"/>
                <w:sz w:val="24"/>
                <w:szCs w:val="24"/>
                <w:highlight w:val="none"/>
              </w:rPr>
            </w:pPr>
          </w:p>
        </w:tc>
        <w:tc>
          <w:tcPr>
            <w:tcW w:w="2184" w:type="dxa"/>
            <w:noWrap/>
            <w:vAlign w:val="center"/>
          </w:tcPr>
          <w:p>
            <w:pPr>
              <w:pStyle w:val="6"/>
              <w:spacing w:line="300" w:lineRule="atLeast"/>
              <w:jc w:val="center"/>
              <w:rPr>
                <w:b w:val="0"/>
                <w:bCs w:val="0"/>
                <w:color w:val="auto"/>
                <w:sz w:val="24"/>
                <w:szCs w:val="24"/>
                <w:highlight w:val="none"/>
              </w:rPr>
            </w:pPr>
          </w:p>
        </w:tc>
      </w:tr>
    </w:tbl>
    <w:p>
      <w:pPr>
        <w:spacing w:line="480" w:lineRule="auto"/>
        <w:jc w:val="right"/>
        <w:rPr>
          <w:rFonts w:ascii="宋体" w:hAnsi="宋体"/>
          <w:color w:val="auto"/>
          <w:sz w:val="24"/>
          <w:highlight w:val="none"/>
        </w:rPr>
      </w:pPr>
    </w:p>
    <w:p>
      <w:pPr>
        <w:spacing w:line="480" w:lineRule="auto"/>
        <w:jc w:val="right"/>
        <w:rPr>
          <w:rFonts w:ascii="宋体" w:hAnsi="宋体"/>
          <w:color w:val="auto"/>
          <w:sz w:val="24"/>
          <w:highlight w:val="none"/>
        </w:rPr>
      </w:pPr>
      <w:r>
        <w:rPr>
          <w:rFonts w:hint="eastAsia" w:ascii="宋体" w:hAnsi="宋体"/>
          <w:color w:val="auto"/>
          <w:sz w:val="24"/>
          <w:highlight w:val="none"/>
        </w:rPr>
        <w:t>参选人</w:t>
      </w:r>
      <w:r>
        <w:rPr>
          <w:rFonts w:ascii="宋体" w:hAnsi="宋体"/>
          <w:color w:val="auto"/>
          <w:sz w:val="24"/>
          <w:highlight w:val="none"/>
        </w:rPr>
        <w:t>：（盖单位章）</w:t>
      </w:r>
    </w:p>
    <w:p>
      <w:pPr>
        <w:spacing w:line="480" w:lineRule="auto"/>
        <w:jc w:val="right"/>
        <w:rPr>
          <w:rFonts w:ascii="宋体" w:hAnsi="宋体"/>
          <w:color w:val="auto"/>
          <w:sz w:val="24"/>
          <w:highlight w:val="none"/>
        </w:rPr>
      </w:pPr>
      <w:r>
        <w:rPr>
          <w:rFonts w:ascii="宋体" w:hAnsi="宋体"/>
          <w:color w:val="auto"/>
          <w:sz w:val="24"/>
          <w:highlight w:val="none"/>
        </w:rPr>
        <w:t>法定代表人或委托代理人：（</w:t>
      </w:r>
      <w:r>
        <w:rPr>
          <w:rFonts w:hint="eastAsia" w:ascii="宋体" w:hAnsi="宋体"/>
          <w:color w:val="auto"/>
          <w:sz w:val="24"/>
          <w:highlight w:val="none"/>
        </w:rPr>
        <w:t>签字或盖章）</w:t>
      </w:r>
    </w:p>
    <w:p>
      <w:pPr>
        <w:spacing w:line="480" w:lineRule="auto"/>
        <w:jc w:val="right"/>
        <w:rPr>
          <w:rFonts w:ascii="宋体" w:hAnsi="宋体"/>
          <w:color w:val="auto"/>
          <w:sz w:val="24"/>
          <w:highlight w:val="none"/>
        </w:rPr>
      </w:pPr>
      <w:r>
        <w:rPr>
          <w:rFonts w:ascii="宋体" w:hAnsi="宋体"/>
          <w:color w:val="auto"/>
          <w:sz w:val="24"/>
          <w:highlight w:val="none"/>
        </w:rPr>
        <w:t>日期：   年    月    日</w:t>
      </w:r>
    </w:p>
    <w:p>
      <w:pPr>
        <w:pStyle w:val="6"/>
        <w:rPr>
          <w:rFonts w:ascii="宋体" w:hAnsi="宋体"/>
          <w:color w:val="auto"/>
          <w:sz w:val="24"/>
          <w:szCs w:val="24"/>
          <w:highlight w:val="none"/>
        </w:rPr>
      </w:pPr>
    </w:p>
    <w:p>
      <w:pPr>
        <w:rPr>
          <w:b/>
          <w:bCs/>
          <w:color w:val="auto"/>
          <w:sz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sectPr>
          <w:pgSz w:w="11906" w:h="16838"/>
          <w:pgMar w:top="1701" w:right="850" w:bottom="1134" w:left="850" w:header="851" w:footer="754" w:gutter="0"/>
          <w:cols w:space="720" w:num="1"/>
          <w:docGrid w:type="lines" w:linePitch="318" w:charSpace="0"/>
        </w:sectPr>
      </w:pPr>
    </w:p>
    <w:p>
      <w:pPr>
        <w:jc w:val="center"/>
        <w:outlineLvl w:val="0"/>
        <w:rPr>
          <w:b/>
          <w:bCs/>
          <w:color w:val="auto"/>
          <w:sz w:val="32"/>
          <w:szCs w:val="32"/>
          <w:highlight w:val="none"/>
        </w:rPr>
      </w:pPr>
      <w:r>
        <w:rPr>
          <w:rFonts w:hint="eastAsia"/>
          <w:b/>
          <w:bCs/>
          <w:color w:val="auto"/>
          <w:sz w:val="32"/>
          <w:szCs w:val="32"/>
          <w:highlight w:val="none"/>
        </w:rPr>
        <w:t>6、商务条款响应/偏离表</w:t>
      </w:r>
    </w:p>
    <w:p>
      <w:pPr>
        <w:pStyle w:val="12"/>
        <w:rPr>
          <w:color w:val="auto"/>
          <w:sz w:val="24"/>
          <w:highlight w:val="none"/>
        </w:rPr>
      </w:pPr>
    </w:p>
    <w:p>
      <w:pPr>
        <w:ind w:firstLine="960" w:firstLineChars="400"/>
        <w:jc w:val="left"/>
        <w:rPr>
          <w:b/>
          <w:bCs/>
          <w:color w:val="auto"/>
          <w:sz w:val="24"/>
          <w:highlight w:val="none"/>
        </w:rPr>
      </w:pPr>
      <w:r>
        <w:rPr>
          <w:rFonts w:hint="eastAsia"/>
          <w:color w:val="auto"/>
          <w:sz w:val="24"/>
          <w:highlight w:val="none"/>
        </w:rPr>
        <w:t>项目名称：                                    项目编号：</w:t>
      </w:r>
    </w:p>
    <w:p>
      <w:pPr>
        <w:rPr>
          <w:color w:val="auto"/>
          <w:sz w:val="24"/>
          <w:highlight w:val="none"/>
        </w:rPr>
      </w:pP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8"/>
        <w:gridCol w:w="2555"/>
        <w:gridCol w:w="2517"/>
        <w:gridCol w:w="1383"/>
        <w:gridCol w:w="12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38" w:hRule="atLeast"/>
          <w:jc w:val="center"/>
        </w:trPr>
        <w:tc>
          <w:tcPr>
            <w:tcW w:w="798" w:type="dxa"/>
            <w:noWrap/>
            <w:vAlign w:val="center"/>
          </w:tcPr>
          <w:p>
            <w:pPr>
              <w:jc w:val="center"/>
              <w:rPr>
                <w:rFonts w:ascii="宋体" w:hAnsi="宋体"/>
                <w:color w:val="auto"/>
                <w:sz w:val="24"/>
                <w:highlight w:val="none"/>
              </w:rPr>
            </w:pPr>
            <w:r>
              <w:rPr>
                <w:rFonts w:hint="eastAsia" w:ascii="宋体" w:hAnsi="宋体"/>
                <w:color w:val="auto"/>
                <w:sz w:val="24"/>
                <w:highlight w:val="none"/>
              </w:rPr>
              <w:t>序号</w:t>
            </w:r>
          </w:p>
        </w:tc>
        <w:tc>
          <w:tcPr>
            <w:tcW w:w="2555" w:type="dxa"/>
            <w:noWrap/>
            <w:vAlign w:val="center"/>
          </w:tcPr>
          <w:p>
            <w:pPr>
              <w:jc w:val="center"/>
              <w:rPr>
                <w:rFonts w:ascii="宋体" w:hAnsi="宋体"/>
                <w:color w:val="auto"/>
                <w:sz w:val="24"/>
                <w:highlight w:val="none"/>
              </w:rPr>
            </w:pPr>
            <w:r>
              <w:rPr>
                <w:rFonts w:hint="eastAsia"/>
                <w:color w:val="auto"/>
                <w:sz w:val="24"/>
                <w:highlight w:val="none"/>
              </w:rPr>
              <w:t>比选文件</w:t>
            </w:r>
            <w:r>
              <w:rPr>
                <w:rFonts w:hint="eastAsia" w:ascii="宋体" w:hAnsi="宋体"/>
                <w:color w:val="auto"/>
                <w:sz w:val="24"/>
                <w:highlight w:val="none"/>
              </w:rPr>
              <w:t>的商务条款</w:t>
            </w:r>
          </w:p>
        </w:tc>
        <w:tc>
          <w:tcPr>
            <w:tcW w:w="2517" w:type="dxa"/>
            <w:noWrap/>
            <w:vAlign w:val="center"/>
          </w:tcPr>
          <w:p>
            <w:pPr>
              <w:jc w:val="center"/>
              <w:rPr>
                <w:rFonts w:ascii="宋体" w:hAnsi="宋体"/>
                <w:color w:val="auto"/>
                <w:sz w:val="24"/>
                <w:highlight w:val="none"/>
              </w:rPr>
            </w:pPr>
            <w:r>
              <w:rPr>
                <w:rFonts w:hint="eastAsia" w:ascii="宋体" w:hAnsi="宋体"/>
                <w:color w:val="auto"/>
                <w:sz w:val="24"/>
                <w:highlight w:val="none"/>
              </w:rPr>
              <w:t>参选文件的商务条款</w:t>
            </w:r>
          </w:p>
        </w:tc>
        <w:tc>
          <w:tcPr>
            <w:tcW w:w="1383" w:type="dxa"/>
            <w:noWrap/>
            <w:vAlign w:val="center"/>
          </w:tcPr>
          <w:p>
            <w:pPr>
              <w:jc w:val="center"/>
              <w:rPr>
                <w:rFonts w:ascii="宋体" w:hAnsi="宋体"/>
                <w:color w:val="auto"/>
                <w:sz w:val="24"/>
                <w:highlight w:val="none"/>
              </w:rPr>
            </w:pPr>
            <w:r>
              <w:rPr>
                <w:rFonts w:hint="eastAsia" w:ascii="宋体" w:hAnsi="宋体"/>
                <w:color w:val="auto"/>
                <w:sz w:val="24"/>
                <w:highlight w:val="none"/>
              </w:rPr>
              <w:t>响应/偏离</w:t>
            </w:r>
          </w:p>
        </w:tc>
        <w:tc>
          <w:tcPr>
            <w:tcW w:w="1236" w:type="dxa"/>
            <w:noWrap/>
            <w:vAlign w:val="center"/>
          </w:tcPr>
          <w:p>
            <w:pPr>
              <w:jc w:val="center"/>
              <w:rPr>
                <w:rFonts w:ascii="宋体" w:hAnsi="宋体"/>
                <w:color w:val="auto"/>
                <w:sz w:val="24"/>
                <w:highlight w:val="none"/>
              </w:rPr>
            </w:pPr>
            <w:r>
              <w:rPr>
                <w:rFonts w:hint="eastAsia" w:ascii="宋体" w:hAnsi="宋体"/>
                <w:color w:val="auto"/>
                <w:sz w:val="24"/>
                <w:highlight w:val="none"/>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01" w:hRule="atLeast"/>
          <w:jc w:val="center"/>
        </w:trPr>
        <w:tc>
          <w:tcPr>
            <w:tcW w:w="798" w:type="dxa"/>
            <w:noWrap/>
            <w:vAlign w:val="center"/>
          </w:tcPr>
          <w:p>
            <w:pPr>
              <w:pStyle w:val="6"/>
              <w:spacing w:line="300" w:lineRule="atLeast"/>
              <w:jc w:val="center"/>
              <w:rPr>
                <w:rFonts w:ascii="宋体" w:hAnsi="宋体"/>
                <w:color w:val="auto"/>
                <w:sz w:val="24"/>
                <w:highlight w:val="none"/>
              </w:rPr>
            </w:pPr>
            <w:r>
              <w:rPr>
                <w:rFonts w:hint="eastAsia"/>
                <w:b w:val="0"/>
                <w:bCs w:val="0"/>
                <w:color w:val="auto"/>
                <w:sz w:val="24"/>
                <w:szCs w:val="24"/>
                <w:highlight w:val="none"/>
              </w:rPr>
              <w:t>1</w:t>
            </w:r>
          </w:p>
        </w:tc>
        <w:tc>
          <w:tcPr>
            <w:tcW w:w="2555" w:type="dxa"/>
            <w:noWrap/>
            <w:vAlign w:val="center"/>
          </w:tcPr>
          <w:p>
            <w:pPr>
              <w:spacing w:line="500" w:lineRule="exact"/>
              <w:jc w:val="center"/>
              <w:rPr>
                <w:rFonts w:ascii="宋体" w:hAnsi="宋体"/>
                <w:color w:val="auto"/>
                <w:sz w:val="24"/>
                <w:highlight w:val="none"/>
              </w:rPr>
            </w:pPr>
          </w:p>
        </w:tc>
        <w:tc>
          <w:tcPr>
            <w:tcW w:w="2517" w:type="dxa"/>
            <w:noWrap/>
            <w:vAlign w:val="center"/>
          </w:tcPr>
          <w:p>
            <w:pPr>
              <w:spacing w:line="500" w:lineRule="exact"/>
              <w:jc w:val="center"/>
              <w:rPr>
                <w:rFonts w:ascii="宋体" w:hAnsi="宋体"/>
                <w:color w:val="auto"/>
                <w:sz w:val="24"/>
                <w:highlight w:val="none"/>
              </w:rPr>
            </w:pPr>
          </w:p>
        </w:tc>
        <w:tc>
          <w:tcPr>
            <w:tcW w:w="1383" w:type="dxa"/>
            <w:noWrap/>
            <w:vAlign w:val="center"/>
          </w:tcPr>
          <w:p>
            <w:pPr>
              <w:spacing w:line="500" w:lineRule="exact"/>
              <w:jc w:val="center"/>
              <w:rPr>
                <w:rFonts w:ascii="宋体" w:hAnsi="宋体"/>
                <w:color w:val="auto"/>
                <w:sz w:val="24"/>
                <w:highlight w:val="none"/>
              </w:rPr>
            </w:pPr>
          </w:p>
        </w:tc>
        <w:tc>
          <w:tcPr>
            <w:tcW w:w="1236" w:type="dxa"/>
            <w:noWrap/>
            <w:vAlign w:val="center"/>
          </w:tcPr>
          <w:p>
            <w:pPr>
              <w:spacing w:line="500" w:lineRule="exact"/>
              <w:jc w:val="center"/>
              <w:rPr>
                <w:rFonts w:ascii="宋体" w:hAnsi="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01" w:hRule="atLeast"/>
          <w:jc w:val="center"/>
        </w:trPr>
        <w:tc>
          <w:tcPr>
            <w:tcW w:w="798" w:type="dxa"/>
            <w:noWrap/>
            <w:vAlign w:val="center"/>
          </w:tcPr>
          <w:p>
            <w:pPr>
              <w:pStyle w:val="6"/>
              <w:spacing w:line="300" w:lineRule="atLeast"/>
              <w:jc w:val="center"/>
              <w:rPr>
                <w:rFonts w:ascii="宋体" w:hAnsi="宋体"/>
                <w:color w:val="auto"/>
                <w:sz w:val="24"/>
                <w:highlight w:val="none"/>
              </w:rPr>
            </w:pPr>
            <w:r>
              <w:rPr>
                <w:rFonts w:hint="eastAsia"/>
                <w:b w:val="0"/>
                <w:bCs w:val="0"/>
                <w:color w:val="auto"/>
                <w:sz w:val="24"/>
                <w:szCs w:val="24"/>
                <w:highlight w:val="none"/>
              </w:rPr>
              <w:t>2</w:t>
            </w:r>
          </w:p>
        </w:tc>
        <w:tc>
          <w:tcPr>
            <w:tcW w:w="2555" w:type="dxa"/>
            <w:noWrap/>
            <w:vAlign w:val="center"/>
          </w:tcPr>
          <w:p>
            <w:pPr>
              <w:spacing w:line="500" w:lineRule="exact"/>
              <w:jc w:val="center"/>
              <w:rPr>
                <w:rFonts w:ascii="宋体" w:hAnsi="宋体"/>
                <w:color w:val="auto"/>
                <w:sz w:val="24"/>
                <w:highlight w:val="none"/>
              </w:rPr>
            </w:pPr>
          </w:p>
        </w:tc>
        <w:tc>
          <w:tcPr>
            <w:tcW w:w="2517" w:type="dxa"/>
            <w:noWrap/>
            <w:vAlign w:val="center"/>
          </w:tcPr>
          <w:p>
            <w:pPr>
              <w:spacing w:line="500" w:lineRule="exact"/>
              <w:jc w:val="center"/>
              <w:rPr>
                <w:rFonts w:ascii="宋体" w:hAnsi="宋体"/>
                <w:color w:val="auto"/>
                <w:sz w:val="24"/>
                <w:highlight w:val="none"/>
              </w:rPr>
            </w:pPr>
          </w:p>
        </w:tc>
        <w:tc>
          <w:tcPr>
            <w:tcW w:w="1383" w:type="dxa"/>
            <w:noWrap/>
            <w:vAlign w:val="center"/>
          </w:tcPr>
          <w:p>
            <w:pPr>
              <w:spacing w:line="500" w:lineRule="exact"/>
              <w:jc w:val="center"/>
              <w:rPr>
                <w:rFonts w:ascii="宋体" w:hAnsi="宋体"/>
                <w:color w:val="auto"/>
                <w:sz w:val="24"/>
                <w:highlight w:val="none"/>
              </w:rPr>
            </w:pPr>
          </w:p>
        </w:tc>
        <w:tc>
          <w:tcPr>
            <w:tcW w:w="1236" w:type="dxa"/>
            <w:noWrap/>
            <w:vAlign w:val="center"/>
          </w:tcPr>
          <w:p>
            <w:pPr>
              <w:spacing w:line="500" w:lineRule="exact"/>
              <w:jc w:val="center"/>
              <w:rPr>
                <w:rFonts w:ascii="宋体" w:hAnsi="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01" w:hRule="atLeast"/>
          <w:jc w:val="center"/>
        </w:trPr>
        <w:tc>
          <w:tcPr>
            <w:tcW w:w="798" w:type="dxa"/>
            <w:noWrap/>
            <w:vAlign w:val="center"/>
          </w:tcPr>
          <w:p>
            <w:pPr>
              <w:pStyle w:val="6"/>
              <w:spacing w:line="300" w:lineRule="atLeast"/>
              <w:jc w:val="center"/>
              <w:rPr>
                <w:rFonts w:ascii="宋体" w:hAnsi="宋体"/>
                <w:color w:val="auto"/>
                <w:sz w:val="24"/>
                <w:highlight w:val="none"/>
              </w:rPr>
            </w:pPr>
            <w:r>
              <w:rPr>
                <w:rFonts w:hint="eastAsia"/>
                <w:b w:val="0"/>
                <w:bCs w:val="0"/>
                <w:color w:val="auto"/>
                <w:sz w:val="24"/>
                <w:szCs w:val="24"/>
                <w:highlight w:val="none"/>
              </w:rPr>
              <w:t>3</w:t>
            </w:r>
          </w:p>
        </w:tc>
        <w:tc>
          <w:tcPr>
            <w:tcW w:w="2555" w:type="dxa"/>
            <w:noWrap/>
            <w:vAlign w:val="center"/>
          </w:tcPr>
          <w:p>
            <w:pPr>
              <w:spacing w:line="500" w:lineRule="exact"/>
              <w:jc w:val="center"/>
              <w:rPr>
                <w:rFonts w:ascii="宋体" w:hAnsi="宋体"/>
                <w:color w:val="auto"/>
                <w:sz w:val="24"/>
                <w:highlight w:val="none"/>
              </w:rPr>
            </w:pPr>
          </w:p>
        </w:tc>
        <w:tc>
          <w:tcPr>
            <w:tcW w:w="2517" w:type="dxa"/>
            <w:noWrap/>
            <w:vAlign w:val="center"/>
          </w:tcPr>
          <w:p>
            <w:pPr>
              <w:spacing w:line="500" w:lineRule="exact"/>
              <w:jc w:val="center"/>
              <w:rPr>
                <w:rFonts w:ascii="宋体" w:hAnsi="宋体"/>
                <w:color w:val="auto"/>
                <w:sz w:val="24"/>
                <w:highlight w:val="none"/>
              </w:rPr>
            </w:pPr>
          </w:p>
        </w:tc>
        <w:tc>
          <w:tcPr>
            <w:tcW w:w="1383" w:type="dxa"/>
            <w:noWrap/>
            <w:vAlign w:val="center"/>
          </w:tcPr>
          <w:p>
            <w:pPr>
              <w:spacing w:line="500" w:lineRule="exact"/>
              <w:jc w:val="center"/>
              <w:rPr>
                <w:rFonts w:ascii="宋体" w:hAnsi="宋体"/>
                <w:color w:val="auto"/>
                <w:sz w:val="24"/>
                <w:highlight w:val="none"/>
              </w:rPr>
            </w:pPr>
          </w:p>
        </w:tc>
        <w:tc>
          <w:tcPr>
            <w:tcW w:w="1236" w:type="dxa"/>
            <w:noWrap/>
            <w:vAlign w:val="center"/>
          </w:tcPr>
          <w:p>
            <w:pPr>
              <w:spacing w:line="500" w:lineRule="exact"/>
              <w:jc w:val="center"/>
              <w:rPr>
                <w:rFonts w:ascii="宋体" w:hAnsi="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01" w:hRule="atLeast"/>
          <w:jc w:val="center"/>
        </w:trPr>
        <w:tc>
          <w:tcPr>
            <w:tcW w:w="798" w:type="dxa"/>
            <w:noWrap/>
            <w:vAlign w:val="center"/>
          </w:tcPr>
          <w:p>
            <w:pPr>
              <w:pStyle w:val="6"/>
              <w:spacing w:line="300" w:lineRule="atLeast"/>
              <w:jc w:val="center"/>
              <w:rPr>
                <w:rFonts w:ascii="宋体" w:hAnsi="宋体"/>
                <w:color w:val="auto"/>
                <w:sz w:val="24"/>
                <w:highlight w:val="none"/>
              </w:rPr>
            </w:pPr>
            <w:r>
              <w:rPr>
                <w:rFonts w:hint="eastAsia"/>
                <w:b w:val="0"/>
                <w:bCs w:val="0"/>
                <w:color w:val="auto"/>
                <w:sz w:val="24"/>
                <w:szCs w:val="24"/>
                <w:highlight w:val="none"/>
              </w:rPr>
              <w:t>．．．</w:t>
            </w:r>
          </w:p>
        </w:tc>
        <w:tc>
          <w:tcPr>
            <w:tcW w:w="2555" w:type="dxa"/>
            <w:noWrap/>
            <w:vAlign w:val="center"/>
          </w:tcPr>
          <w:p>
            <w:pPr>
              <w:spacing w:line="500" w:lineRule="exact"/>
              <w:jc w:val="center"/>
              <w:rPr>
                <w:rFonts w:ascii="宋体" w:hAnsi="宋体"/>
                <w:color w:val="auto"/>
                <w:sz w:val="24"/>
                <w:highlight w:val="none"/>
              </w:rPr>
            </w:pPr>
          </w:p>
        </w:tc>
        <w:tc>
          <w:tcPr>
            <w:tcW w:w="2517" w:type="dxa"/>
            <w:noWrap/>
            <w:vAlign w:val="center"/>
          </w:tcPr>
          <w:p>
            <w:pPr>
              <w:spacing w:line="500" w:lineRule="exact"/>
              <w:jc w:val="center"/>
              <w:rPr>
                <w:rFonts w:ascii="宋体" w:hAnsi="宋体"/>
                <w:color w:val="auto"/>
                <w:sz w:val="24"/>
                <w:highlight w:val="none"/>
              </w:rPr>
            </w:pPr>
          </w:p>
        </w:tc>
        <w:tc>
          <w:tcPr>
            <w:tcW w:w="1383" w:type="dxa"/>
            <w:noWrap/>
            <w:vAlign w:val="center"/>
          </w:tcPr>
          <w:p>
            <w:pPr>
              <w:spacing w:line="500" w:lineRule="exact"/>
              <w:jc w:val="center"/>
              <w:rPr>
                <w:rFonts w:ascii="宋体" w:hAnsi="宋体"/>
                <w:color w:val="auto"/>
                <w:sz w:val="24"/>
                <w:highlight w:val="none"/>
              </w:rPr>
            </w:pPr>
          </w:p>
        </w:tc>
        <w:tc>
          <w:tcPr>
            <w:tcW w:w="1236" w:type="dxa"/>
            <w:noWrap/>
            <w:vAlign w:val="center"/>
          </w:tcPr>
          <w:p>
            <w:pPr>
              <w:spacing w:line="500" w:lineRule="exact"/>
              <w:jc w:val="center"/>
              <w:rPr>
                <w:rFonts w:ascii="宋体" w:hAnsi="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49" w:hRule="atLeast"/>
          <w:jc w:val="center"/>
        </w:trPr>
        <w:tc>
          <w:tcPr>
            <w:tcW w:w="798" w:type="dxa"/>
            <w:noWrap/>
            <w:vAlign w:val="center"/>
          </w:tcPr>
          <w:p>
            <w:pPr>
              <w:spacing w:line="500" w:lineRule="exact"/>
              <w:jc w:val="center"/>
              <w:rPr>
                <w:rFonts w:ascii="宋体" w:hAnsi="宋体"/>
                <w:color w:val="auto"/>
                <w:sz w:val="24"/>
                <w:highlight w:val="none"/>
              </w:rPr>
            </w:pPr>
          </w:p>
        </w:tc>
        <w:tc>
          <w:tcPr>
            <w:tcW w:w="2555" w:type="dxa"/>
            <w:noWrap/>
            <w:vAlign w:val="center"/>
          </w:tcPr>
          <w:p>
            <w:pPr>
              <w:spacing w:line="500" w:lineRule="exact"/>
              <w:jc w:val="center"/>
              <w:rPr>
                <w:rFonts w:ascii="宋体" w:hAnsi="宋体"/>
                <w:color w:val="auto"/>
                <w:sz w:val="24"/>
                <w:highlight w:val="none"/>
              </w:rPr>
            </w:pPr>
          </w:p>
        </w:tc>
        <w:tc>
          <w:tcPr>
            <w:tcW w:w="2517" w:type="dxa"/>
            <w:noWrap/>
            <w:vAlign w:val="center"/>
          </w:tcPr>
          <w:p>
            <w:pPr>
              <w:spacing w:line="500" w:lineRule="exact"/>
              <w:jc w:val="center"/>
              <w:rPr>
                <w:rFonts w:ascii="宋体" w:hAnsi="宋体"/>
                <w:color w:val="auto"/>
                <w:sz w:val="24"/>
                <w:highlight w:val="none"/>
              </w:rPr>
            </w:pPr>
          </w:p>
        </w:tc>
        <w:tc>
          <w:tcPr>
            <w:tcW w:w="1383" w:type="dxa"/>
            <w:noWrap/>
            <w:vAlign w:val="center"/>
          </w:tcPr>
          <w:p>
            <w:pPr>
              <w:spacing w:line="500" w:lineRule="exact"/>
              <w:jc w:val="center"/>
              <w:rPr>
                <w:rFonts w:ascii="宋体" w:hAnsi="宋体"/>
                <w:color w:val="auto"/>
                <w:sz w:val="24"/>
                <w:highlight w:val="none"/>
              </w:rPr>
            </w:pPr>
          </w:p>
        </w:tc>
        <w:tc>
          <w:tcPr>
            <w:tcW w:w="1236" w:type="dxa"/>
            <w:noWrap/>
            <w:vAlign w:val="center"/>
          </w:tcPr>
          <w:p>
            <w:pPr>
              <w:spacing w:line="500" w:lineRule="exact"/>
              <w:jc w:val="center"/>
              <w:rPr>
                <w:rFonts w:ascii="宋体" w:hAnsi="宋体"/>
                <w:color w:val="auto"/>
                <w:sz w:val="24"/>
                <w:highlight w:val="none"/>
              </w:rPr>
            </w:pPr>
          </w:p>
        </w:tc>
      </w:tr>
    </w:tbl>
    <w:p>
      <w:pPr>
        <w:pStyle w:val="46"/>
        <w:rPr>
          <w:color w:val="auto"/>
          <w:sz w:val="24"/>
          <w:szCs w:val="24"/>
          <w:highlight w:val="none"/>
        </w:rPr>
      </w:pPr>
    </w:p>
    <w:p>
      <w:pPr>
        <w:pStyle w:val="46"/>
        <w:rPr>
          <w:color w:val="auto"/>
          <w:sz w:val="24"/>
          <w:szCs w:val="24"/>
          <w:highlight w:val="none"/>
        </w:rPr>
      </w:pPr>
    </w:p>
    <w:p>
      <w:pPr>
        <w:spacing w:line="480" w:lineRule="auto"/>
        <w:jc w:val="right"/>
        <w:rPr>
          <w:rFonts w:ascii="宋体" w:hAnsi="宋体"/>
          <w:color w:val="auto"/>
          <w:sz w:val="24"/>
          <w:highlight w:val="none"/>
        </w:rPr>
      </w:pPr>
      <w:r>
        <w:rPr>
          <w:rFonts w:hint="eastAsia" w:ascii="宋体" w:hAnsi="宋体"/>
          <w:color w:val="auto"/>
          <w:sz w:val="24"/>
          <w:highlight w:val="none"/>
        </w:rPr>
        <w:t>参选人</w:t>
      </w:r>
      <w:r>
        <w:rPr>
          <w:rFonts w:ascii="宋体" w:hAnsi="宋体"/>
          <w:color w:val="auto"/>
          <w:sz w:val="24"/>
          <w:highlight w:val="none"/>
        </w:rPr>
        <w:t>：（盖单位章）</w:t>
      </w:r>
    </w:p>
    <w:p>
      <w:pPr>
        <w:spacing w:line="480" w:lineRule="auto"/>
        <w:jc w:val="right"/>
        <w:rPr>
          <w:rFonts w:ascii="宋体" w:hAnsi="宋体"/>
          <w:color w:val="auto"/>
          <w:sz w:val="24"/>
          <w:highlight w:val="none"/>
        </w:rPr>
      </w:pPr>
      <w:r>
        <w:rPr>
          <w:rFonts w:ascii="宋体" w:hAnsi="宋体"/>
          <w:color w:val="auto"/>
          <w:sz w:val="24"/>
          <w:highlight w:val="none"/>
        </w:rPr>
        <w:t>法定代表人或委托代理人：（</w:t>
      </w:r>
      <w:r>
        <w:rPr>
          <w:rFonts w:hint="eastAsia" w:ascii="宋体" w:hAnsi="宋体"/>
          <w:color w:val="auto"/>
          <w:sz w:val="24"/>
          <w:highlight w:val="none"/>
        </w:rPr>
        <w:t>签字或盖章）</w:t>
      </w:r>
    </w:p>
    <w:p>
      <w:pPr>
        <w:spacing w:line="480" w:lineRule="auto"/>
        <w:jc w:val="right"/>
        <w:rPr>
          <w:rFonts w:ascii="宋体" w:hAnsi="宋体"/>
          <w:color w:val="auto"/>
          <w:sz w:val="24"/>
          <w:highlight w:val="none"/>
        </w:rPr>
      </w:pPr>
      <w:r>
        <w:rPr>
          <w:rFonts w:ascii="宋体" w:hAnsi="宋体"/>
          <w:color w:val="auto"/>
          <w:sz w:val="24"/>
          <w:highlight w:val="none"/>
        </w:rPr>
        <w:t>日期：   年    月    日</w:t>
      </w:r>
    </w:p>
    <w:p>
      <w:pPr>
        <w:rPr>
          <w:b/>
          <w:color w:val="auto"/>
          <w:sz w:val="24"/>
          <w:highlight w:val="none"/>
        </w:rPr>
        <w:sectPr>
          <w:pgSz w:w="11906" w:h="16838"/>
          <w:pgMar w:top="1701" w:right="850" w:bottom="1134" w:left="850" w:header="851" w:footer="754" w:gutter="0"/>
          <w:cols w:space="720" w:num="1"/>
          <w:docGrid w:type="lines" w:linePitch="318" w:charSpace="0"/>
        </w:sectPr>
      </w:pPr>
    </w:p>
    <w:p>
      <w:pPr>
        <w:jc w:val="center"/>
        <w:outlineLvl w:val="0"/>
        <w:rPr>
          <w:b/>
          <w:bCs/>
          <w:color w:val="auto"/>
          <w:sz w:val="32"/>
          <w:szCs w:val="32"/>
          <w:highlight w:val="none"/>
        </w:rPr>
      </w:pPr>
      <w:r>
        <w:rPr>
          <w:rFonts w:hint="eastAsia"/>
          <w:b/>
          <w:bCs/>
          <w:color w:val="auto"/>
          <w:sz w:val="32"/>
          <w:szCs w:val="32"/>
          <w:highlight w:val="none"/>
        </w:rPr>
        <w:t>7、资格证明文件</w:t>
      </w:r>
    </w:p>
    <w:p>
      <w:pPr>
        <w:ind w:firstLine="480" w:firstLineChars="200"/>
        <w:jc w:val="left"/>
        <w:rPr>
          <w:color w:val="auto"/>
          <w:sz w:val="24"/>
          <w:highlight w:val="none"/>
        </w:rPr>
      </w:pPr>
    </w:p>
    <w:p>
      <w:pPr>
        <w:ind w:firstLine="482" w:firstLineChars="200"/>
        <w:jc w:val="left"/>
        <w:rPr>
          <w:color w:val="auto"/>
          <w:sz w:val="24"/>
          <w:highlight w:val="none"/>
        </w:rPr>
      </w:pPr>
      <w:r>
        <w:rPr>
          <w:rFonts w:hint="eastAsia"/>
          <w:b/>
          <w:bCs/>
          <w:color w:val="auto"/>
          <w:sz w:val="24"/>
          <w:highlight w:val="none"/>
        </w:rPr>
        <w:t>参选人根据“</w:t>
      </w:r>
      <w:r>
        <w:rPr>
          <w:rFonts w:hint="eastAsia" w:ascii="宋体" w:hAnsi="宋体" w:cs="宋体"/>
          <w:b/>
          <w:bCs/>
          <w:color w:val="auto"/>
          <w:sz w:val="24"/>
          <w:highlight w:val="none"/>
        </w:rPr>
        <w:t>第一章 比选公告”</w:t>
      </w:r>
      <w:r>
        <w:rPr>
          <w:rFonts w:hint="eastAsia" w:hAnsi="宋体" w:cs="宋体"/>
          <w:b/>
          <w:bCs/>
          <w:color w:val="auto"/>
          <w:sz w:val="24"/>
          <w:highlight w:val="none"/>
        </w:rPr>
        <w:t>中“</w:t>
      </w:r>
      <w:r>
        <w:rPr>
          <w:rFonts w:hint="eastAsia" w:ascii="宋体" w:hAnsi="宋体" w:cs="宋体"/>
          <w:b/>
          <w:bCs/>
          <w:color w:val="auto"/>
          <w:sz w:val="24"/>
          <w:highlight w:val="none"/>
        </w:rPr>
        <w:t>三、参选人资格要求</w:t>
      </w:r>
      <w:r>
        <w:rPr>
          <w:rFonts w:hint="eastAsia" w:hAnsi="宋体" w:cs="宋体"/>
          <w:b/>
          <w:bCs/>
          <w:color w:val="auto"/>
          <w:sz w:val="24"/>
          <w:highlight w:val="none"/>
        </w:rPr>
        <w:t>”提供资格证明文件，</w:t>
      </w:r>
      <w:r>
        <w:rPr>
          <w:rFonts w:hint="eastAsia"/>
          <w:b/>
          <w:bCs/>
          <w:color w:val="auto"/>
          <w:sz w:val="24"/>
          <w:highlight w:val="none"/>
        </w:rPr>
        <w:t>所有复印件或扫描件必须加盖公章。</w:t>
      </w:r>
    </w:p>
    <w:p>
      <w:pPr>
        <w:jc w:val="left"/>
        <w:rPr>
          <w:color w:val="auto"/>
          <w:sz w:val="24"/>
          <w:highlight w:val="none"/>
        </w:rPr>
      </w:pPr>
    </w:p>
    <w:p>
      <w:pPr>
        <w:jc w:val="center"/>
        <w:rPr>
          <w:color w:val="auto"/>
          <w:sz w:val="24"/>
          <w:highlight w:val="none"/>
        </w:rPr>
      </w:pPr>
    </w:p>
    <w:p>
      <w:pPr>
        <w:spacing w:line="360" w:lineRule="auto"/>
        <w:jc w:val="center"/>
        <w:rPr>
          <w:color w:val="auto"/>
          <w:sz w:val="24"/>
          <w:highlight w:val="none"/>
        </w:rPr>
      </w:pPr>
    </w:p>
    <w:p>
      <w:pPr>
        <w:spacing w:line="360" w:lineRule="auto"/>
        <w:jc w:val="center"/>
        <w:rPr>
          <w:color w:val="auto"/>
          <w:sz w:val="24"/>
          <w:highlight w:val="none"/>
        </w:rPr>
      </w:pPr>
    </w:p>
    <w:p>
      <w:pPr>
        <w:rPr>
          <w:color w:val="auto"/>
          <w:sz w:val="24"/>
          <w:highlight w:val="none"/>
        </w:rPr>
      </w:pPr>
    </w:p>
    <w:p>
      <w:pPr>
        <w:jc w:val="center"/>
        <w:rPr>
          <w:color w:val="auto"/>
          <w:sz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jc w:val="center"/>
        <w:rPr>
          <w:color w:val="auto"/>
          <w:sz w:val="24"/>
          <w:highlight w:val="none"/>
        </w:rPr>
      </w:pPr>
    </w:p>
    <w:p>
      <w:pPr>
        <w:jc w:val="center"/>
        <w:rPr>
          <w:color w:val="auto"/>
          <w:sz w:val="24"/>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jc w:val="center"/>
        <w:outlineLvl w:val="0"/>
        <w:rPr>
          <w:b/>
          <w:bCs/>
          <w:color w:val="auto"/>
          <w:sz w:val="28"/>
          <w:szCs w:val="28"/>
          <w:highlight w:val="none"/>
        </w:rPr>
      </w:pPr>
      <w:r>
        <w:rPr>
          <w:rFonts w:hint="eastAsia"/>
          <w:b/>
          <w:bCs/>
          <w:color w:val="auto"/>
          <w:sz w:val="28"/>
          <w:szCs w:val="28"/>
          <w:highlight w:val="none"/>
        </w:rPr>
        <w:t>8、参选人情况一览表</w:t>
      </w:r>
    </w:p>
    <w:p>
      <w:pPr>
        <w:jc w:val="left"/>
        <w:rPr>
          <w:color w:val="auto"/>
          <w:sz w:val="24"/>
          <w:highlight w:val="none"/>
        </w:rPr>
      </w:pPr>
    </w:p>
    <w:tbl>
      <w:tblPr>
        <w:tblStyle w:val="26"/>
        <w:tblpPr w:leftFromText="180" w:rightFromText="180" w:vertAnchor="text" w:horzAnchor="page" w:tblpX="1247" w:tblpY="311"/>
        <w:tblOverlap w:val="never"/>
        <w:tblW w:w="101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7"/>
        <w:gridCol w:w="1086"/>
        <w:gridCol w:w="612"/>
        <w:gridCol w:w="1702"/>
        <w:gridCol w:w="1698"/>
        <w:gridCol w:w="1698"/>
        <w:gridCol w:w="1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1697" w:type="dxa"/>
            <w:noWrap/>
            <w:vAlign w:val="center"/>
          </w:tcPr>
          <w:p>
            <w:pPr>
              <w:rPr>
                <w:rFonts w:ascii="新宋体" w:hAnsi="新宋体" w:eastAsia="新宋体"/>
                <w:color w:val="auto"/>
                <w:sz w:val="24"/>
                <w:highlight w:val="none"/>
              </w:rPr>
            </w:pPr>
            <w:r>
              <w:rPr>
                <w:rFonts w:hint="eastAsia" w:ascii="新宋体" w:hAnsi="新宋体" w:eastAsia="新宋体"/>
                <w:color w:val="auto"/>
                <w:sz w:val="24"/>
                <w:highlight w:val="none"/>
              </w:rPr>
              <w:t>参选人名称</w:t>
            </w:r>
          </w:p>
        </w:tc>
        <w:tc>
          <w:tcPr>
            <w:tcW w:w="8502" w:type="dxa"/>
            <w:gridSpan w:val="6"/>
            <w:noWrap/>
            <w:vAlign w:val="center"/>
          </w:tcPr>
          <w:p>
            <w:pPr>
              <w:rPr>
                <w:rFonts w:ascii="新宋体" w:hAnsi="新宋体" w:eastAsia="新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trPr>
        <w:tc>
          <w:tcPr>
            <w:tcW w:w="1697" w:type="dxa"/>
            <w:noWrap/>
            <w:vAlign w:val="center"/>
          </w:tcPr>
          <w:p>
            <w:pPr>
              <w:jc w:val="center"/>
              <w:rPr>
                <w:rFonts w:ascii="新宋体" w:hAnsi="新宋体" w:eastAsia="新宋体"/>
                <w:color w:val="auto"/>
                <w:sz w:val="24"/>
                <w:highlight w:val="none"/>
              </w:rPr>
            </w:pPr>
            <w:r>
              <w:rPr>
                <w:rFonts w:hint="eastAsia" w:ascii="新宋体" w:hAnsi="新宋体" w:eastAsia="新宋体"/>
                <w:color w:val="auto"/>
                <w:sz w:val="24"/>
                <w:highlight w:val="none"/>
              </w:rPr>
              <w:t>法定代表人</w:t>
            </w:r>
          </w:p>
        </w:tc>
        <w:tc>
          <w:tcPr>
            <w:tcW w:w="3400" w:type="dxa"/>
            <w:gridSpan w:val="3"/>
            <w:noWrap/>
            <w:vAlign w:val="center"/>
          </w:tcPr>
          <w:p>
            <w:pPr>
              <w:jc w:val="center"/>
              <w:rPr>
                <w:rFonts w:ascii="新宋体" w:hAnsi="新宋体" w:eastAsia="新宋体"/>
                <w:color w:val="auto"/>
                <w:sz w:val="24"/>
                <w:highlight w:val="none"/>
              </w:rPr>
            </w:pPr>
          </w:p>
        </w:tc>
        <w:tc>
          <w:tcPr>
            <w:tcW w:w="1698" w:type="dxa"/>
            <w:noWrap/>
            <w:vAlign w:val="center"/>
          </w:tcPr>
          <w:p>
            <w:pPr>
              <w:jc w:val="center"/>
              <w:rPr>
                <w:rFonts w:ascii="新宋体" w:hAnsi="新宋体" w:eastAsia="新宋体"/>
                <w:color w:val="auto"/>
                <w:sz w:val="24"/>
                <w:highlight w:val="none"/>
              </w:rPr>
            </w:pPr>
            <w:r>
              <w:rPr>
                <w:rFonts w:hint="eastAsia" w:ascii="新宋体" w:hAnsi="新宋体" w:eastAsia="新宋体"/>
                <w:color w:val="auto"/>
                <w:sz w:val="24"/>
                <w:highlight w:val="none"/>
              </w:rPr>
              <w:t>电话</w:t>
            </w:r>
          </w:p>
        </w:tc>
        <w:tc>
          <w:tcPr>
            <w:tcW w:w="3404" w:type="dxa"/>
            <w:gridSpan w:val="2"/>
            <w:noWrap/>
            <w:vAlign w:val="center"/>
          </w:tcPr>
          <w:p>
            <w:pPr>
              <w:jc w:val="center"/>
              <w:rPr>
                <w:rFonts w:ascii="新宋体" w:hAnsi="新宋体" w:eastAsia="新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97" w:type="dxa"/>
            <w:noWrap/>
            <w:vAlign w:val="center"/>
          </w:tcPr>
          <w:p>
            <w:pPr>
              <w:jc w:val="center"/>
              <w:rPr>
                <w:rFonts w:ascii="新宋体" w:hAnsi="新宋体" w:eastAsia="新宋体"/>
                <w:color w:val="auto"/>
                <w:sz w:val="24"/>
                <w:highlight w:val="none"/>
              </w:rPr>
            </w:pPr>
            <w:r>
              <w:rPr>
                <w:rFonts w:hint="eastAsia" w:ascii="新宋体" w:hAnsi="新宋体" w:eastAsia="新宋体"/>
                <w:color w:val="auto"/>
                <w:sz w:val="24"/>
                <w:highlight w:val="none"/>
              </w:rPr>
              <w:t>地址</w:t>
            </w:r>
          </w:p>
        </w:tc>
        <w:tc>
          <w:tcPr>
            <w:tcW w:w="8502" w:type="dxa"/>
            <w:gridSpan w:val="6"/>
            <w:noWrap/>
            <w:vAlign w:val="center"/>
          </w:tcPr>
          <w:p>
            <w:pPr>
              <w:jc w:val="left"/>
              <w:rPr>
                <w:rFonts w:ascii="新宋体" w:hAnsi="新宋体" w:eastAsia="新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2783" w:type="dxa"/>
            <w:gridSpan w:val="2"/>
            <w:noWrap/>
            <w:vAlign w:val="center"/>
          </w:tcPr>
          <w:p>
            <w:pPr>
              <w:jc w:val="left"/>
              <w:rPr>
                <w:rFonts w:ascii="新宋体" w:hAnsi="新宋体" w:eastAsia="新宋体"/>
                <w:color w:val="auto"/>
                <w:sz w:val="24"/>
                <w:highlight w:val="none"/>
              </w:rPr>
            </w:pPr>
            <w:r>
              <w:rPr>
                <w:rFonts w:hint="eastAsia" w:ascii="新宋体" w:hAnsi="新宋体" w:eastAsia="新宋体"/>
                <w:color w:val="auto"/>
                <w:sz w:val="24"/>
                <w:highlight w:val="none"/>
              </w:rPr>
              <w:t>统一社会信用代码</w:t>
            </w:r>
          </w:p>
        </w:tc>
        <w:tc>
          <w:tcPr>
            <w:tcW w:w="7416" w:type="dxa"/>
            <w:gridSpan w:val="5"/>
            <w:noWrap/>
            <w:vAlign w:val="center"/>
          </w:tcPr>
          <w:p>
            <w:pPr>
              <w:jc w:val="left"/>
              <w:rPr>
                <w:rFonts w:ascii="新宋体" w:hAnsi="新宋体" w:eastAsia="新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1697" w:type="dxa"/>
            <w:noWrap/>
            <w:vAlign w:val="center"/>
          </w:tcPr>
          <w:p>
            <w:pPr>
              <w:pStyle w:val="25"/>
              <w:ind w:firstLine="0"/>
              <w:jc w:val="center"/>
              <w:rPr>
                <w:rFonts w:ascii="新宋体" w:hAnsi="新宋体" w:eastAsia="新宋体"/>
                <w:color w:val="auto"/>
                <w:kern w:val="2"/>
                <w:sz w:val="24"/>
                <w:szCs w:val="24"/>
                <w:highlight w:val="none"/>
              </w:rPr>
            </w:pPr>
            <w:r>
              <w:rPr>
                <w:rFonts w:hint="eastAsia" w:ascii="新宋体" w:hAnsi="新宋体" w:eastAsia="新宋体"/>
                <w:color w:val="auto"/>
                <w:kern w:val="2"/>
                <w:sz w:val="24"/>
                <w:szCs w:val="24"/>
                <w:highlight w:val="none"/>
              </w:rPr>
              <w:t>联系人</w:t>
            </w:r>
          </w:p>
        </w:tc>
        <w:tc>
          <w:tcPr>
            <w:tcW w:w="1698" w:type="dxa"/>
            <w:gridSpan w:val="2"/>
            <w:noWrap/>
            <w:vAlign w:val="center"/>
          </w:tcPr>
          <w:p>
            <w:pPr>
              <w:pStyle w:val="25"/>
              <w:ind w:firstLine="0"/>
              <w:jc w:val="center"/>
              <w:rPr>
                <w:rFonts w:ascii="新宋体" w:hAnsi="新宋体" w:eastAsia="新宋体"/>
                <w:color w:val="auto"/>
                <w:kern w:val="2"/>
                <w:sz w:val="24"/>
                <w:szCs w:val="24"/>
                <w:highlight w:val="none"/>
              </w:rPr>
            </w:pPr>
          </w:p>
        </w:tc>
        <w:tc>
          <w:tcPr>
            <w:tcW w:w="1702" w:type="dxa"/>
            <w:noWrap/>
            <w:vAlign w:val="center"/>
          </w:tcPr>
          <w:p>
            <w:pPr>
              <w:pStyle w:val="25"/>
              <w:ind w:firstLine="0"/>
              <w:jc w:val="center"/>
              <w:rPr>
                <w:rFonts w:ascii="新宋体" w:hAnsi="新宋体" w:eastAsia="新宋体"/>
                <w:color w:val="auto"/>
                <w:kern w:val="2"/>
                <w:sz w:val="24"/>
                <w:szCs w:val="24"/>
                <w:highlight w:val="none"/>
              </w:rPr>
            </w:pPr>
            <w:r>
              <w:rPr>
                <w:rFonts w:hint="eastAsia" w:ascii="新宋体" w:hAnsi="新宋体" w:eastAsia="新宋体"/>
                <w:color w:val="auto"/>
                <w:kern w:val="2"/>
                <w:sz w:val="24"/>
                <w:szCs w:val="24"/>
                <w:highlight w:val="none"/>
              </w:rPr>
              <w:t>联系电话</w:t>
            </w:r>
          </w:p>
        </w:tc>
        <w:tc>
          <w:tcPr>
            <w:tcW w:w="1698" w:type="dxa"/>
            <w:noWrap/>
            <w:vAlign w:val="center"/>
          </w:tcPr>
          <w:p>
            <w:pPr>
              <w:pStyle w:val="25"/>
              <w:ind w:firstLine="0"/>
              <w:jc w:val="center"/>
              <w:rPr>
                <w:rFonts w:ascii="新宋体" w:hAnsi="新宋体" w:eastAsia="新宋体"/>
                <w:color w:val="auto"/>
                <w:kern w:val="2"/>
                <w:sz w:val="24"/>
                <w:szCs w:val="24"/>
                <w:highlight w:val="none"/>
              </w:rPr>
            </w:pPr>
          </w:p>
        </w:tc>
        <w:tc>
          <w:tcPr>
            <w:tcW w:w="1698" w:type="dxa"/>
            <w:noWrap/>
            <w:vAlign w:val="center"/>
          </w:tcPr>
          <w:p>
            <w:pPr>
              <w:pStyle w:val="25"/>
              <w:ind w:firstLine="0"/>
              <w:jc w:val="center"/>
              <w:rPr>
                <w:rFonts w:ascii="新宋体" w:hAnsi="新宋体" w:eastAsia="新宋体"/>
                <w:color w:val="auto"/>
                <w:kern w:val="2"/>
                <w:sz w:val="24"/>
                <w:szCs w:val="24"/>
                <w:highlight w:val="none"/>
              </w:rPr>
            </w:pPr>
            <w:r>
              <w:rPr>
                <w:rFonts w:hint="eastAsia" w:ascii="新宋体" w:hAnsi="新宋体" w:eastAsia="新宋体"/>
                <w:color w:val="auto"/>
                <w:kern w:val="2"/>
                <w:sz w:val="24"/>
                <w:szCs w:val="24"/>
                <w:highlight w:val="none"/>
              </w:rPr>
              <w:t>网址/邮箱</w:t>
            </w:r>
          </w:p>
        </w:tc>
        <w:tc>
          <w:tcPr>
            <w:tcW w:w="1706" w:type="dxa"/>
            <w:noWrap/>
            <w:vAlign w:val="center"/>
          </w:tcPr>
          <w:p>
            <w:pPr>
              <w:pStyle w:val="25"/>
              <w:ind w:firstLine="0"/>
              <w:jc w:val="center"/>
              <w:rPr>
                <w:rFonts w:ascii="新宋体" w:hAnsi="新宋体" w:eastAsia="新宋体"/>
                <w:color w:val="auto"/>
                <w:kern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1697" w:type="dxa"/>
            <w:noWrap/>
            <w:vAlign w:val="center"/>
          </w:tcPr>
          <w:p>
            <w:pPr>
              <w:jc w:val="center"/>
              <w:rPr>
                <w:rFonts w:ascii="新宋体" w:hAnsi="新宋体" w:eastAsia="新宋体"/>
                <w:color w:val="auto"/>
                <w:sz w:val="24"/>
                <w:highlight w:val="none"/>
              </w:rPr>
            </w:pPr>
            <w:r>
              <w:rPr>
                <w:rFonts w:hint="eastAsia" w:ascii="新宋体" w:hAnsi="新宋体" w:eastAsia="新宋体"/>
                <w:color w:val="auto"/>
                <w:sz w:val="24"/>
                <w:highlight w:val="none"/>
              </w:rPr>
              <w:t>企业性质</w:t>
            </w:r>
          </w:p>
        </w:tc>
        <w:tc>
          <w:tcPr>
            <w:tcW w:w="3400" w:type="dxa"/>
            <w:gridSpan w:val="3"/>
            <w:noWrap/>
            <w:vAlign w:val="center"/>
          </w:tcPr>
          <w:p>
            <w:pPr>
              <w:jc w:val="center"/>
              <w:rPr>
                <w:rFonts w:ascii="新宋体" w:hAnsi="新宋体" w:eastAsia="新宋体"/>
                <w:color w:val="auto"/>
                <w:sz w:val="24"/>
                <w:highlight w:val="none"/>
              </w:rPr>
            </w:pPr>
          </w:p>
        </w:tc>
        <w:tc>
          <w:tcPr>
            <w:tcW w:w="1698" w:type="dxa"/>
            <w:noWrap/>
            <w:vAlign w:val="center"/>
          </w:tcPr>
          <w:p>
            <w:pPr>
              <w:jc w:val="center"/>
              <w:rPr>
                <w:rFonts w:ascii="新宋体" w:hAnsi="新宋体" w:eastAsia="新宋体"/>
                <w:color w:val="auto"/>
                <w:sz w:val="24"/>
                <w:highlight w:val="none"/>
              </w:rPr>
            </w:pPr>
            <w:r>
              <w:rPr>
                <w:rFonts w:hint="eastAsia" w:ascii="新宋体" w:hAnsi="新宋体" w:eastAsia="新宋体"/>
                <w:color w:val="auto"/>
                <w:sz w:val="24"/>
                <w:highlight w:val="none"/>
              </w:rPr>
              <w:t>成立时间</w:t>
            </w:r>
          </w:p>
        </w:tc>
        <w:tc>
          <w:tcPr>
            <w:tcW w:w="3404" w:type="dxa"/>
            <w:gridSpan w:val="2"/>
            <w:noWrap/>
            <w:vAlign w:val="center"/>
          </w:tcPr>
          <w:p>
            <w:pPr>
              <w:jc w:val="center"/>
              <w:rPr>
                <w:rFonts w:ascii="新宋体" w:hAnsi="新宋体" w:eastAsia="新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1697" w:type="dxa"/>
            <w:noWrap/>
            <w:vAlign w:val="center"/>
          </w:tcPr>
          <w:p>
            <w:pPr>
              <w:jc w:val="center"/>
              <w:rPr>
                <w:rFonts w:ascii="新宋体" w:hAnsi="新宋体" w:eastAsia="新宋体"/>
                <w:color w:val="auto"/>
                <w:sz w:val="24"/>
                <w:highlight w:val="none"/>
              </w:rPr>
            </w:pPr>
            <w:r>
              <w:rPr>
                <w:rFonts w:hint="eastAsia" w:ascii="新宋体" w:hAnsi="新宋体" w:eastAsia="新宋体"/>
                <w:color w:val="auto"/>
                <w:sz w:val="24"/>
                <w:highlight w:val="none"/>
              </w:rPr>
              <w:t>营业热照号</w:t>
            </w:r>
          </w:p>
        </w:tc>
        <w:tc>
          <w:tcPr>
            <w:tcW w:w="3400" w:type="dxa"/>
            <w:gridSpan w:val="3"/>
            <w:noWrap/>
            <w:vAlign w:val="center"/>
          </w:tcPr>
          <w:p>
            <w:pPr>
              <w:jc w:val="center"/>
              <w:rPr>
                <w:rFonts w:ascii="新宋体" w:hAnsi="新宋体" w:eastAsia="新宋体"/>
                <w:color w:val="auto"/>
                <w:sz w:val="24"/>
                <w:highlight w:val="none"/>
              </w:rPr>
            </w:pPr>
          </w:p>
        </w:tc>
        <w:tc>
          <w:tcPr>
            <w:tcW w:w="1698" w:type="dxa"/>
            <w:noWrap/>
            <w:vAlign w:val="center"/>
          </w:tcPr>
          <w:p>
            <w:pPr>
              <w:jc w:val="center"/>
              <w:rPr>
                <w:rFonts w:ascii="新宋体" w:hAnsi="新宋体" w:eastAsia="新宋体"/>
                <w:color w:val="auto"/>
                <w:sz w:val="24"/>
                <w:highlight w:val="none"/>
              </w:rPr>
            </w:pPr>
            <w:r>
              <w:rPr>
                <w:rFonts w:hint="eastAsia" w:ascii="新宋体" w:hAnsi="新宋体" w:eastAsia="新宋体"/>
                <w:color w:val="auto"/>
                <w:sz w:val="24"/>
                <w:highlight w:val="none"/>
              </w:rPr>
              <w:t>注册资金</w:t>
            </w:r>
          </w:p>
        </w:tc>
        <w:tc>
          <w:tcPr>
            <w:tcW w:w="3404" w:type="dxa"/>
            <w:gridSpan w:val="2"/>
            <w:noWrap/>
            <w:vAlign w:val="center"/>
          </w:tcPr>
          <w:p>
            <w:pPr>
              <w:jc w:val="center"/>
              <w:rPr>
                <w:rFonts w:ascii="新宋体" w:hAnsi="新宋体" w:eastAsia="新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1697" w:type="dxa"/>
            <w:noWrap/>
            <w:vAlign w:val="center"/>
          </w:tcPr>
          <w:p>
            <w:pPr>
              <w:jc w:val="center"/>
              <w:rPr>
                <w:rFonts w:ascii="新宋体" w:hAnsi="新宋体" w:eastAsia="新宋体"/>
                <w:color w:val="auto"/>
                <w:sz w:val="24"/>
                <w:highlight w:val="none"/>
              </w:rPr>
            </w:pPr>
            <w:r>
              <w:rPr>
                <w:rFonts w:hint="eastAsia" w:ascii="新宋体" w:hAnsi="新宋体" w:eastAsia="新宋体"/>
                <w:color w:val="auto"/>
                <w:sz w:val="24"/>
                <w:highlight w:val="none"/>
              </w:rPr>
              <w:t>开户银行</w:t>
            </w:r>
          </w:p>
        </w:tc>
        <w:tc>
          <w:tcPr>
            <w:tcW w:w="8502" w:type="dxa"/>
            <w:gridSpan w:val="6"/>
            <w:noWrap/>
            <w:vAlign w:val="center"/>
          </w:tcPr>
          <w:p>
            <w:pPr>
              <w:jc w:val="center"/>
              <w:rPr>
                <w:rFonts w:ascii="新宋体" w:hAnsi="新宋体" w:eastAsia="新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1697" w:type="dxa"/>
            <w:noWrap/>
            <w:vAlign w:val="center"/>
          </w:tcPr>
          <w:p>
            <w:pPr>
              <w:jc w:val="center"/>
              <w:rPr>
                <w:rFonts w:ascii="新宋体" w:hAnsi="新宋体" w:eastAsia="新宋体"/>
                <w:color w:val="auto"/>
                <w:sz w:val="24"/>
                <w:highlight w:val="none"/>
              </w:rPr>
            </w:pPr>
            <w:r>
              <w:rPr>
                <w:rFonts w:hint="eastAsia" w:ascii="新宋体" w:hAnsi="新宋体" w:eastAsia="新宋体"/>
                <w:color w:val="auto"/>
                <w:sz w:val="24"/>
                <w:highlight w:val="none"/>
              </w:rPr>
              <w:t>银行帐号</w:t>
            </w:r>
          </w:p>
        </w:tc>
        <w:tc>
          <w:tcPr>
            <w:tcW w:w="8502" w:type="dxa"/>
            <w:gridSpan w:val="6"/>
            <w:noWrap/>
            <w:vAlign w:val="center"/>
          </w:tcPr>
          <w:p>
            <w:pPr>
              <w:jc w:val="center"/>
              <w:rPr>
                <w:rFonts w:ascii="新宋体" w:hAnsi="新宋体" w:eastAsia="新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8" w:hRule="atLeast"/>
        </w:trPr>
        <w:tc>
          <w:tcPr>
            <w:tcW w:w="1697" w:type="dxa"/>
            <w:noWrap/>
            <w:vAlign w:val="center"/>
          </w:tcPr>
          <w:p>
            <w:pPr>
              <w:jc w:val="center"/>
              <w:rPr>
                <w:rFonts w:ascii="新宋体" w:hAnsi="新宋体" w:eastAsia="新宋体"/>
                <w:color w:val="auto"/>
                <w:sz w:val="24"/>
                <w:highlight w:val="none"/>
              </w:rPr>
            </w:pPr>
          </w:p>
          <w:p>
            <w:pPr>
              <w:jc w:val="center"/>
              <w:rPr>
                <w:rFonts w:ascii="新宋体" w:hAnsi="新宋体" w:eastAsia="新宋体"/>
                <w:color w:val="auto"/>
                <w:sz w:val="24"/>
                <w:highlight w:val="none"/>
              </w:rPr>
            </w:pPr>
          </w:p>
          <w:p>
            <w:pPr>
              <w:pStyle w:val="25"/>
              <w:ind w:firstLine="0"/>
              <w:jc w:val="center"/>
              <w:rPr>
                <w:rFonts w:ascii="新宋体" w:hAnsi="新宋体" w:eastAsia="新宋体"/>
                <w:color w:val="auto"/>
                <w:kern w:val="2"/>
                <w:sz w:val="24"/>
                <w:szCs w:val="24"/>
                <w:highlight w:val="none"/>
              </w:rPr>
            </w:pPr>
            <w:r>
              <w:rPr>
                <w:rFonts w:hint="eastAsia" w:ascii="新宋体" w:hAnsi="新宋体" w:eastAsia="新宋体"/>
                <w:color w:val="auto"/>
                <w:kern w:val="2"/>
                <w:sz w:val="24"/>
                <w:szCs w:val="24"/>
                <w:highlight w:val="none"/>
              </w:rPr>
              <w:t>经营范围</w:t>
            </w:r>
          </w:p>
          <w:p>
            <w:pPr>
              <w:pStyle w:val="25"/>
              <w:jc w:val="center"/>
              <w:rPr>
                <w:rFonts w:ascii="新宋体" w:hAnsi="新宋体" w:eastAsia="新宋体"/>
                <w:color w:val="auto"/>
                <w:kern w:val="2"/>
                <w:sz w:val="24"/>
                <w:szCs w:val="24"/>
                <w:highlight w:val="none"/>
              </w:rPr>
            </w:pPr>
          </w:p>
        </w:tc>
        <w:tc>
          <w:tcPr>
            <w:tcW w:w="8502" w:type="dxa"/>
            <w:gridSpan w:val="6"/>
            <w:noWrap/>
            <w:vAlign w:val="center"/>
          </w:tcPr>
          <w:p>
            <w:pPr>
              <w:jc w:val="center"/>
              <w:rPr>
                <w:rFonts w:ascii="新宋体" w:hAnsi="新宋体" w:eastAsia="新宋体"/>
                <w:color w:val="auto"/>
                <w:sz w:val="24"/>
                <w:highlight w:val="none"/>
              </w:rPr>
            </w:pPr>
          </w:p>
        </w:tc>
      </w:tr>
    </w:tbl>
    <w:p>
      <w:pPr>
        <w:rPr>
          <w:color w:val="auto"/>
          <w:sz w:val="24"/>
          <w:highlight w:val="none"/>
        </w:rPr>
      </w:pPr>
    </w:p>
    <w:p>
      <w:pPr>
        <w:rPr>
          <w:b/>
          <w:bCs/>
          <w:color w:val="auto"/>
          <w:sz w:val="24"/>
          <w:highlight w:val="none"/>
        </w:rPr>
      </w:pPr>
      <w:r>
        <w:rPr>
          <w:rFonts w:hint="eastAsia"/>
          <w:b/>
          <w:bCs/>
          <w:color w:val="auto"/>
          <w:sz w:val="24"/>
          <w:highlight w:val="none"/>
        </w:rPr>
        <w:t>填表须知：参选人应完整填写本表，而且保证所有填写内容是真实和有效的。</w:t>
      </w:r>
    </w:p>
    <w:p>
      <w:pPr>
        <w:spacing w:line="480" w:lineRule="auto"/>
        <w:jc w:val="right"/>
        <w:rPr>
          <w:rFonts w:ascii="宋体" w:hAnsi="宋体"/>
          <w:color w:val="auto"/>
          <w:sz w:val="24"/>
          <w:highlight w:val="none"/>
        </w:rPr>
      </w:pPr>
    </w:p>
    <w:p>
      <w:pPr>
        <w:spacing w:line="480" w:lineRule="auto"/>
        <w:jc w:val="right"/>
        <w:rPr>
          <w:rFonts w:ascii="宋体" w:hAnsi="宋体"/>
          <w:color w:val="auto"/>
          <w:sz w:val="24"/>
          <w:highlight w:val="none"/>
        </w:rPr>
      </w:pPr>
      <w:r>
        <w:rPr>
          <w:rFonts w:hint="eastAsia" w:ascii="宋体" w:hAnsi="宋体"/>
          <w:color w:val="auto"/>
          <w:sz w:val="24"/>
          <w:highlight w:val="none"/>
        </w:rPr>
        <w:t>参选人</w:t>
      </w:r>
      <w:r>
        <w:rPr>
          <w:rFonts w:ascii="宋体" w:hAnsi="宋体"/>
          <w:color w:val="auto"/>
          <w:sz w:val="24"/>
          <w:highlight w:val="none"/>
        </w:rPr>
        <w:t>：（盖单位章）</w:t>
      </w:r>
    </w:p>
    <w:p>
      <w:pPr>
        <w:spacing w:line="480" w:lineRule="auto"/>
        <w:jc w:val="right"/>
        <w:rPr>
          <w:rFonts w:ascii="宋体" w:hAnsi="宋体"/>
          <w:color w:val="auto"/>
          <w:sz w:val="24"/>
          <w:highlight w:val="none"/>
        </w:rPr>
      </w:pPr>
      <w:r>
        <w:rPr>
          <w:rFonts w:ascii="宋体" w:hAnsi="宋体"/>
          <w:color w:val="auto"/>
          <w:sz w:val="24"/>
          <w:highlight w:val="none"/>
        </w:rPr>
        <w:t>法定代表人或委托代理人：（</w:t>
      </w:r>
      <w:r>
        <w:rPr>
          <w:rFonts w:hint="eastAsia" w:ascii="宋体" w:hAnsi="宋体"/>
          <w:color w:val="auto"/>
          <w:sz w:val="24"/>
          <w:highlight w:val="none"/>
        </w:rPr>
        <w:t>签字或盖章）</w:t>
      </w:r>
    </w:p>
    <w:p>
      <w:pPr>
        <w:spacing w:line="480" w:lineRule="auto"/>
        <w:jc w:val="right"/>
        <w:rPr>
          <w:color w:val="auto"/>
          <w:sz w:val="24"/>
          <w:highlight w:val="none"/>
        </w:rPr>
      </w:pPr>
      <w:r>
        <w:rPr>
          <w:rFonts w:hint="eastAsia" w:ascii="宋体" w:hAnsi="宋体"/>
          <w:color w:val="auto"/>
          <w:sz w:val="24"/>
          <w:highlight w:val="none"/>
        </w:rPr>
        <w:t>日期：   年    月    日</w:t>
      </w:r>
    </w:p>
    <w:p>
      <w:pPr>
        <w:spacing w:line="360" w:lineRule="auto"/>
        <w:jc w:val="center"/>
        <w:outlineLvl w:val="0"/>
        <w:rPr>
          <w:rFonts w:ascii="宋体" w:hAnsi="宋体"/>
          <w:b/>
          <w:color w:val="auto"/>
          <w:sz w:val="28"/>
          <w:szCs w:val="28"/>
          <w:highlight w:val="none"/>
        </w:rPr>
      </w:pPr>
      <w:r>
        <w:rPr>
          <w:rFonts w:hint="eastAsia" w:ascii="宋体" w:hAnsi="宋体"/>
          <w:b/>
          <w:color w:val="auto"/>
          <w:sz w:val="28"/>
          <w:szCs w:val="28"/>
          <w:highlight w:val="none"/>
        </w:rPr>
        <w:t xml:space="preserve">9、关于资格的声明函 </w:t>
      </w:r>
    </w:p>
    <w:p>
      <w:pPr>
        <w:widowControl/>
        <w:jc w:val="left"/>
        <w:rPr>
          <w:rFonts w:ascii="新宋体" w:hAnsi="新宋体" w:eastAsia="新宋体"/>
          <w:color w:val="auto"/>
          <w:sz w:val="24"/>
          <w:highlight w:val="none"/>
        </w:rPr>
      </w:pPr>
    </w:p>
    <w:p>
      <w:pPr>
        <w:widowControl/>
        <w:jc w:val="left"/>
        <w:rPr>
          <w:rFonts w:ascii="新宋体" w:hAnsi="新宋体" w:eastAsia="新宋体"/>
          <w:color w:val="auto"/>
          <w:sz w:val="24"/>
          <w:highlight w:val="none"/>
        </w:rPr>
      </w:pPr>
    </w:p>
    <w:p>
      <w:pPr>
        <w:pStyle w:val="6"/>
        <w:rPr>
          <w:rFonts w:ascii="新宋体" w:hAnsi="新宋体" w:eastAsia="新宋体"/>
          <w:b w:val="0"/>
          <w:bCs w:val="0"/>
          <w:color w:val="auto"/>
          <w:sz w:val="24"/>
          <w:szCs w:val="24"/>
          <w:highlight w:val="none"/>
          <w:u w:val="single"/>
        </w:rPr>
      </w:pPr>
      <w:r>
        <w:rPr>
          <w:rFonts w:hint="eastAsia" w:ascii="新宋体" w:hAnsi="新宋体" w:eastAsia="新宋体"/>
          <w:b w:val="0"/>
          <w:bCs w:val="0"/>
          <w:color w:val="auto"/>
          <w:sz w:val="24"/>
          <w:szCs w:val="24"/>
          <w:highlight w:val="none"/>
          <w:u w:val="single"/>
        </w:rPr>
        <w:t>致：（比选人）</w:t>
      </w:r>
    </w:p>
    <w:p>
      <w:pPr>
        <w:pStyle w:val="6"/>
        <w:rPr>
          <w:rFonts w:ascii="新宋体" w:hAnsi="新宋体" w:eastAsia="新宋体"/>
          <w:b w:val="0"/>
          <w:bCs w:val="0"/>
          <w:color w:val="auto"/>
          <w:sz w:val="24"/>
          <w:szCs w:val="24"/>
          <w:highlight w:val="none"/>
          <w:u w:val="single"/>
        </w:rPr>
      </w:pPr>
    </w:p>
    <w:p>
      <w:pPr>
        <w:pStyle w:val="6"/>
        <w:ind w:firstLine="480" w:firstLineChars="200"/>
        <w:rPr>
          <w:rFonts w:ascii="新宋体" w:hAnsi="新宋体" w:eastAsia="新宋体"/>
          <w:b w:val="0"/>
          <w:bCs w:val="0"/>
          <w:color w:val="auto"/>
          <w:sz w:val="24"/>
          <w:szCs w:val="24"/>
          <w:highlight w:val="none"/>
        </w:rPr>
      </w:pPr>
      <w:r>
        <w:rPr>
          <w:rFonts w:hint="eastAsia" w:ascii="新宋体" w:hAnsi="新宋体" w:eastAsia="新宋体"/>
          <w:b w:val="0"/>
          <w:bCs w:val="0"/>
          <w:color w:val="auto"/>
          <w:sz w:val="24"/>
          <w:szCs w:val="24"/>
          <w:highlight w:val="none"/>
        </w:rPr>
        <w:t>关于贵方</w:t>
      </w:r>
      <w:r>
        <w:rPr>
          <w:rFonts w:hint="eastAsia" w:ascii="新宋体" w:hAnsi="新宋体" w:eastAsia="新宋体"/>
          <w:b w:val="0"/>
          <w:bCs w:val="0"/>
          <w:color w:val="auto"/>
          <w:sz w:val="24"/>
          <w:szCs w:val="24"/>
          <w:highlight w:val="none"/>
          <w:u w:val="single"/>
        </w:rPr>
        <w:t>（项目名称、项目编号）</w:t>
      </w:r>
      <w:r>
        <w:rPr>
          <w:rFonts w:hint="eastAsia" w:ascii="新宋体" w:hAnsi="新宋体" w:eastAsia="新宋体"/>
          <w:b w:val="0"/>
          <w:bCs w:val="0"/>
          <w:color w:val="auto"/>
          <w:sz w:val="24"/>
          <w:szCs w:val="24"/>
          <w:highlight w:val="none"/>
        </w:rPr>
        <w:t xml:space="preserve">参选邀请，本签字人愿意参加参选，提供比选文件中规定的货物和服务，并证明提交参选文件和说明是准确的和真实的。 </w:t>
      </w:r>
    </w:p>
    <w:p>
      <w:pPr>
        <w:pStyle w:val="6"/>
        <w:rPr>
          <w:rFonts w:ascii="新宋体" w:hAnsi="新宋体" w:eastAsia="新宋体"/>
          <w:b w:val="0"/>
          <w:bCs w:val="0"/>
          <w:color w:val="auto"/>
          <w:sz w:val="24"/>
          <w:szCs w:val="24"/>
          <w:highlight w:val="none"/>
          <w:u w:val="single"/>
        </w:rPr>
      </w:pPr>
    </w:p>
    <w:p>
      <w:pPr>
        <w:widowControl/>
        <w:jc w:val="left"/>
        <w:rPr>
          <w:rFonts w:ascii="新宋体" w:hAnsi="新宋体" w:eastAsia="新宋体"/>
          <w:color w:val="auto"/>
          <w:sz w:val="24"/>
          <w:highlight w:val="none"/>
        </w:rPr>
      </w:pPr>
    </w:p>
    <w:p>
      <w:pPr>
        <w:widowControl/>
        <w:jc w:val="left"/>
        <w:rPr>
          <w:rFonts w:ascii="新宋体" w:hAnsi="新宋体" w:eastAsia="新宋体"/>
          <w:color w:val="auto"/>
          <w:sz w:val="24"/>
          <w:highlight w:val="none"/>
        </w:rPr>
      </w:pPr>
    </w:p>
    <w:p>
      <w:pPr>
        <w:spacing w:line="480" w:lineRule="auto"/>
        <w:jc w:val="right"/>
        <w:rPr>
          <w:rFonts w:ascii="宋体" w:hAnsi="宋体"/>
          <w:color w:val="auto"/>
          <w:sz w:val="24"/>
          <w:highlight w:val="none"/>
        </w:rPr>
      </w:pPr>
      <w:r>
        <w:rPr>
          <w:rFonts w:hint="eastAsia" w:ascii="宋体" w:hAnsi="宋体"/>
          <w:color w:val="auto"/>
          <w:sz w:val="24"/>
          <w:highlight w:val="none"/>
        </w:rPr>
        <w:t>参选人</w:t>
      </w:r>
      <w:r>
        <w:rPr>
          <w:rFonts w:ascii="宋体" w:hAnsi="宋体"/>
          <w:color w:val="auto"/>
          <w:sz w:val="24"/>
          <w:highlight w:val="none"/>
        </w:rPr>
        <w:t>：（盖单位章）</w:t>
      </w:r>
    </w:p>
    <w:p>
      <w:pPr>
        <w:widowControl/>
        <w:spacing w:line="480" w:lineRule="auto"/>
        <w:jc w:val="right"/>
        <w:rPr>
          <w:rFonts w:ascii="新宋体" w:hAnsi="新宋体" w:eastAsia="新宋体"/>
          <w:color w:val="auto"/>
          <w:sz w:val="24"/>
          <w:highlight w:val="none"/>
        </w:rPr>
      </w:pPr>
      <w:r>
        <w:rPr>
          <w:rFonts w:ascii="宋体" w:hAnsi="宋体"/>
          <w:color w:val="auto"/>
          <w:sz w:val="24"/>
          <w:highlight w:val="none"/>
        </w:rPr>
        <w:t>法定代表人或委托代理人：（</w:t>
      </w:r>
      <w:r>
        <w:rPr>
          <w:rFonts w:hint="eastAsia" w:ascii="宋体" w:hAnsi="宋体"/>
          <w:color w:val="auto"/>
          <w:sz w:val="24"/>
          <w:highlight w:val="none"/>
        </w:rPr>
        <w:t>签字或盖章）</w:t>
      </w:r>
    </w:p>
    <w:p>
      <w:pPr>
        <w:widowControl/>
        <w:jc w:val="left"/>
        <w:rPr>
          <w:rFonts w:ascii="新宋体" w:hAnsi="新宋体" w:eastAsia="新宋体"/>
          <w:color w:val="auto"/>
          <w:sz w:val="24"/>
          <w:highlight w:val="none"/>
        </w:rPr>
      </w:pPr>
    </w:p>
    <w:p>
      <w:pPr>
        <w:pStyle w:val="46"/>
        <w:rPr>
          <w:rFonts w:hAnsi="宋体"/>
          <w:b/>
          <w:color w:val="auto"/>
          <w:sz w:val="24"/>
          <w:szCs w:val="24"/>
          <w:highlight w:val="none"/>
        </w:rPr>
      </w:pPr>
    </w:p>
    <w:p>
      <w:pPr>
        <w:spacing w:line="360" w:lineRule="auto"/>
        <w:jc w:val="center"/>
        <w:rPr>
          <w:rFonts w:ascii="宋体" w:hAnsi="宋体"/>
          <w:b/>
          <w:color w:val="auto"/>
          <w:sz w:val="24"/>
          <w:highlight w:val="none"/>
        </w:rPr>
      </w:pPr>
    </w:p>
    <w:p>
      <w:pPr>
        <w:pStyle w:val="46"/>
        <w:rPr>
          <w:rFonts w:hAnsi="宋体"/>
          <w:b/>
          <w:color w:val="auto"/>
          <w:sz w:val="24"/>
          <w:szCs w:val="24"/>
          <w:highlight w:val="none"/>
        </w:rPr>
      </w:pPr>
    </w:p>
    <w:p>
      <w:pPr>
        <w:pStyle w:val="46"/>
        <w:rPr>
          <w:rFonts w:hAnsi="宋体"/>
          <w:b/>
          <w:color w:val="auto"/>
          <w:sz w:val="24"/>
          <w:szCs w:val="24"/>
          <w:highlight w:val="none"/>
        </w:rPr>
      </w:pPr>
    </w:p>
    <w:p>
      <w:pPr>
        <w:pStyle w:val="46"/>
        <w:rPr>
          <w:rFonts w:hAnsi="宋体"/>
          <w:b/>
          <w:color w:val="auto"/>
          <w:sz w:val="24"/>
          <w:szCs w:val="24"/>
          <w:highlight w:val="none"/>
        </w:rPr>
      </w:pPr>
    </w:p>
    <w:p>
      <w:pPr>
        <w:pStyle w:val="46"/>
        <w:rPr>
          <w:rFonts w:hAnsi="宋体"/>
          <w:b/>
          <w:color w:val="auto"/>
          <w:sz w:val="24"/>
          <w:szCs w:val="24"/>
          <w:highlight w:val="none"/>
        </w:rPr>
      </w:pPr>
    </w:p>
    <w:p>
      <w:pPr>
        <w:pStyle w:val="46"/>
        <w:rPr>
          <w:rFonts w:hAnsi="宋体"/>
          <w:b/>
          <w:color w:val="auto"/>
          <w:sz w:val="24"/>
          <w:szCs w:val="24"/>
          <w:highlight w:val="none"/>
        </w:rPr>
      </w:pPr>
    </w:p>
    <w:p>
      <w:pPr>
        <w:pStyle w:val="46"/>
        <w:rPr>
          <w:rFonts w:hAnsi="宋体"/>
          <w:b/>
          <w:color w:val="auto"/>
          <w:sz w:val="24"/>
          <w:szCs w:val="24"/>
          <w:highlight w:val="none"/>
        </w:rPr>
      </w:pPr>
    </w:p>
    <w:p>
      <w:pPr>
        <w:pStyle w:val="46"/>
        <w:rPr>
          <w:rFonts w:hAnsi="宋体"/>
          <w:b/>
          <w:color w:val="auto"/>
          <w:sz w:val="24"/>
          <w:szCs w:val="24"/>
          <w:highlight w:val="none"/>
        </w:rPr>
      </w:pPr>
    </w:p>
    <w:p>
      <w:pPr>
        <w:pStyle w:val="46"/>
        <w:rPr>
          <w:rFonts w:hAnsi="宋体"/>
          <w:b/>
          <w:color w:val="auto"/>
          <w:sz w:val="24"/>
          <w:szCs w:val="24"/>
          <w:highlight w:val="none"/>
        </w:rPr>
      </w:pPr>
    </w:p>
    <w:p>
      <w:pPr>
        <w:pStyle w:val="46"/>
        <w:rPr>
          <w:rFonts w:hAnsi="宋体"/>
          <w:b/>
          <w:color w:val="auto"/>
          <w:sz w:val="24"/>
          <w:szCs w:val="24"/>
          <w:highlight w:val="none"/>
        </w:rPr>
      </w:pPr>
    </w:p>
    <w:p>
      <w:pPr>
        <w:pStyle w:val="46"/>
        <w:rPr>
          <w:rFonts w:hAnsi="宋体"/>
          <w:b/>
          <w:color w:val="auto"/>
          <w:sz w:val="24"/>
          <w:szCs w:val="24"/>
          <w:highlight w:val="none"/>
        </w:rPr>
      </w:pPr>
    </w:p>
    <w:p>
      <w:pPr>
        <w:spacing w:line="360" w:lineRule="auto"/>
        <w:jc w:val="center"/>
        <w:outlineLvl w:val="0"/>
        <w:rPr>
          <w:rFonts w:ascii="宋体" w:hAnsi="宋体"/>
          <w:b/>
          <w:color w:val="auto"/>
          <w:kern w:val="0"/>
          <w:sz w:val="24"/>
          <w:highlight w:val="none"/>
        </w:rPr>
      </w:pPr>
    </w:p>
    <w:p>
      <w:pPr>
        <w:spacing w:line="360" w:lineRule="auto"/>
        <w:jc w:val="center"/>
        <w:outlineLvl w:val="0"/>
        <w:rPr>
          <w:rFonts w:ascii="宋体" w:hAnsi="宋体"/>
          <w:b/>
          <w:color w:val="auto"/>
          <w:sz w:val="28"/>
          <w:szCs w:val="28"/>
          <w:highlight w:val="none"/>
        </w:rPr>
      </w:pPr>
      <w:r>
        <w:rPr>
          <w:rFonts w:hint="eastAsia" w:ascii="宋体" w:hAnsi="宋体"/>
          <w:b/>
          <w:color w:val="auto"/>
          <w:sz w:val="28"/>
          <w:szCs w:val="28"/>
          <w:highlight w:val="none"/>
        </w:rPr>
        <w:t>10、相关方案</w:t>
      </w:r>
    </w:p>
    <w:p>
      <w:pPr>
        <w:spacing w:line="360" w:lineRule="auto"/>
        <w:rPr>
          <w:rFonts w:ascii="宋体" w:hAnsi="宋体"/>
          <w:color w:val="auto"/>
          <w:sz w:val="24"/>
          <w:highlight w:val="none"/>
        </w:rPr>
      </w:pPr>
      <w:r>
        <w:rPr>
          <w:rFonts w:hint="eastAsia" w:ascii="宋体" w:hAnsi="宋体"/>
          <w:color w:val="auto"/>
          <w:sz w:val="24"/>
          <w:highlight w:val="none"/>
        </w:rPr>
        <w:t>1）相关方案；</w:t>
      </w:r>
    </w:p>
    <w:p>
      <w:pPr>
        <w:pStyle w:val="25"/>
        <w:spacing w:line="360" w:lineRule="auto"/>
        <w:ind w:firstLine="0"/>
        <w:rPr>
          <w:color w:val="auto"/>
          <w:sz w:val="24"/>
          <w:szCs w:val="24"/>
          <w:highlight w:val="none"/>
        </w:rPr>
      </w:pPr>
      <w:r>
        <w:rPr>
          <w:rFonts w:hint="eastAsia"/>
          <w:color w:val="auto"/>
          <w:sz w:val="24"/>
          <w:szCs w:val="24"/>
          <w:highlight w:val="none"/>
        </w:rPr>
        <w:t>2）参选人认为有必要提供的其他有关材料及相关评分材料。</w:t>
      </w:r>
    </w:p>
    <w:p>
      <w:pPr>
        <w:pStyle w:val="16"/>
        <w:jc w:val="center"/>
        <w:rPr>
          <w:color w:val="auto"/>
          <w:sz w:val="24"/>
          <w:highlight w:val="none"/>
        </w:rPr>
      </w:pPr>
    </w:p>
    <w:p>
      <w:pPr>
        <w:pStyle w:val="16"/>
        <w:jc w:val="center"/>
        <w:rPr>
          <w:color w:val="auto"/>
          <w:sz w:val="24"/>
          <w:highlight w:val="none"/>
        </w:rPr>
      </w:pPr>
    </w:p>
    <w:p>
      <w:pPr>
        <w:pStyle w:val="16"/>
        <w:jc w:val="center"/>
        <w:rPr>
          <w:color w:val="auto"/>
          <w:sz w:val="24"/>
          <w:highlight w:val="none"/>
        </w:rPr>
      </w:pPr>
    </w:p>
    <w:p>
      <w:pPr>
        <w:pStyle w:val="16"/>
        <w:jc w:val="center"/>
        <w:rPr>
          <w:color w:val="auto"/>
          <w:sz w:val="24"/>
          <w:highlight w:val="none"/>
        </w:rPr>
      </w:pPr>
      <w:r>
        <w:rPr>
          <w:rFonts w:hint="eastAsia"/>
          <w:color w:val="auto"/>
          <w:sz w:val="24"/>
          <w:highlight w:val="none"/>
        </w:rPr>
        <w:t>（由参选人自行填写）</w:t>
      </w:r>
    </w:p>
    <w:p>
      <w:pPr>
        <w:spacing w:line="360" w:lineRule="auto"/>
        <w:jc w:val="center"/>
        <w:rPr>
          <w:rFonts w:ascii="宋体" w:hAnsi="宋体"/>
          <w:b/>
          <w:color w:val="auto"/>
          <w:sz w:val="24"/>
          <w:highlight w:val="none"/>
        </w:rPr>
      </w:pPr>
    </w:p>
    <w:p>
      <w:pPr>
        <w:spacing w:line="360" w:lineRule="auto"/>
        <w:jc w:val="center"/>
        <w:rPr>
          <w:rFonts w:ascii="宋体" w:hAnsi="宋体"/>
          <w:b/>
          <w:color w:val="auto"/>
          <w:sz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pStyle w:val="46"/>
        <w:rPr>
          <w:color w:val="auto"/>
          <w:sz w:val="24"/>
          <w:szCs w:val="24"/>
          <w:highlight w:val="none"/>
        </w:rPr>
      </w:pPr>
    </w:p>
    <w:p>
      <w:pPr>
        <w:jc w:val="center"/>
        <w:rPr>
          <w:rFonts w:ascii="宋体" w:hAnsi="宋体"/>
          <w:b/>
          <w:color w:val="auto"/>
          <w:sz w:val="24"/>
          <w:highlight w:val="none"/>
        </w:rPr>
      </w:pPr>
    </w:p>
    <w:sectPr>
      <w:headerReference r:id="rId5" w:type="default"/>
      <w:footerReference r:id="rId6" w:type="default"/>
      <w:pgSz w:w="11906" w:h="16838"/>
      <w:pgMar w:top="1701" w:right="850" w:bottom="1134" w:left="850" w:header="851" w:footer="754" w:gutter="0"/>
      <w:cols w:space="720" w:num="1"/>
      <w:docGrid w:type="lines" w:linePitch="318"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ˎ̥">
    <w:altName w:val="Times New Roman"/>
    <w:panose1 w:val="00000000000000000000"/>
    <w:charset w:val="00"/>
    <w:family w:val="auto"/>
    <w:pitch w:val="default"/>
    <w:sig w:usb0="00000000" w:usb1="00000000" w:usb2="00000000" w:usb3="00000000" w:csb0="00040001" w:csb1="00000000"/>
  </w:font>
  <w:font w:name="monospace">
    <w:altName w:val="宋体"/>
    <w:panose1 w:val="00000000000000000000"/>
    <w:charset w:val="00"/>
    <w:family w:val="auto"/>
    <w:pitch w:val="default"/>
    <w:sig w:usb0="00000000" w:usb1="00000000" w:usb2="00000000" w:usb3="00000000" w:csb0="00040001" w:csb1="00000000"/>
  </w:font>
  <w:font w:name="Consolas">
    <w:panose1 w:val="020B0609020204030204"/>
    <w:charset w:val="00"/>
    <w:family w:val="modern"/>
    <w:pitch w:val="default"/>
    <w:sig w:usb0="E10002FF" w:usb1="4000FCFF" w:usb2="00000009" w:usb3="00000000" w:csb0="6000019F" w:csb1="DFD70000"/>
  </w:font>
  <w:font w:name="楷体_GB2312">
    <w:altName w:val="楷体"/>
    <w:panose1 w:val="00000000000000000000"/>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新宋体">
    <w:panose1 w:val="02010609030101010101"/>
    <w:charset w:val="86"/>
    <w:family w:val="modern"/>
    <w:pitch w:val="default"/>
    <w:sig w:usb0="000000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pStyle w:val="19"/>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85"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zql5uc8AAAAFAQAADwAAAAAA&#10;AAABACAAAAAiAAAAZHJzL2Rvd25yZXYueG1sUEsBAhQAFAAAAAgAh07iQHI+OtfjAQAAzQMAAA4A&#10;AAAAAAAAAQAgAAAAHgEAAGRycy9lMm9Eb2MueG1sUEsFBgAAAAAGAAYAWQEAAHMFAAAAAA==&#10;">
              <v:fill on="f" focussize="0,0"/>
              <v:stroke on="f"/>
              <v:imagedata o:title=""/>
              <o:lock v:ext="edit" aspectratio="f"/>
              <v:textbox inset="0mm,0mm,0mm,0mm" style="mso-fit-shape-to-text:t;">
                <w:txbxContent>
                  <w:p>
                    <w:pPr>
                      <w:pStyle w:val="1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8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pStyle w:val="19"/>
                          </w:pPr>
                          <w:r>
                            <w:fldChar w:fldCharType="begin"/>
                          </w:r>
                          <w:r>
                            <w:instrText xml:space="preserve"> PAGE  \* MERGEFORMAT </w:instrText>
                          </w:r>
                          <w:r>
                            <w:fldChar w:fldCharType="separate"/>
                          </w:r>
                          <w:r>
                            <w:t>24</w:t>
                          </w:r>
                          <w:r>
                            <w:fldChar w:fldCharType="end"/>
                          </w:r>
                        </w:p>
                      </w:txbxContent>
                    </wps:txbx>
                    <wps:bodyPr vert="horz" wrap="none" lIns="0" tIns="0" rIns="0" bIns="0" anchor="t" anchorCtr="0" upright="0">
                      <a:spAutoFit/>
                    </wps:bodyPr>
                  </wps:wsp>
                </a:graphicData>
              </a:graphic>
            </wp:anchor>
          </w:drawing>
        </mc:Choice>
        <mc:Fallback>
          <w:pict>
            <v:shape id="文本框 8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zql5uc8AAAAFAQAADwAAAAAA&#10;AAABACAAAAAiAAAAZHJzL2Rvd25yZXYueG1sUEsBAhQAFAAAAAgAh07iQAJvcgHjAQAAzQMAAA4A&#10;AAAAAAAAAQAgAAAAHgEAAGRycy9lMm9Eb2MueG1sUEsFBgAAAAAGAAYAWQEAAHMFAAAAAA==&#10;">
              <v:fill on="f" focussize="0,0"/>
              <v:stroke on="f"/>
              <v:imagedata o:title=""/>
              <o:lock v:ext="edit" aspectratio="f"/>
              <v:textbox inset="0mm,0mm,0mm,0mm" style="mso-fit-shape-to-text:t;">
                <w:txbxContent>
                  <w:p>
                    <w:pPr>
                      <w:pStyle w:val="19"/>
                    </w:pPr>
                    <w:r>
                      <w:fldChar w:fldCharType="begin"/>
                    </w:r>
                    <w:r>
                      <w:instrText xml:space="preserve"> PAGE  \* MERGEFORMAT </w:instrText>
                    </w:r>
                    <w:r>
                      <w:fldChar w:fldCharType="separate"/>
                    </w:r>
                    <w:r>
                      <w:t>24</w:t>
                    </w:r>
                    <w:r>
                      <w:fldChar w:fldCharType="end"/>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ATNXR+OgIAAHEEAAAOAAAAAAAAAAEAIAAAAB8BAABkcnMvZTJvRG9j&#10;LnhtbFBLBQYAAAAABgAGAFkBAADLBQAAAAA=&#10;">
              <v:fill on="f" focussize="0,0"/>
              <v:stroke on="f" weight="0.5pt"/>
              <v:imagedata o:title=""/>
              <o:lock v:ext="edit" aspectratio="f"/>
              <v:textbox inset="0mm,0mm,0mm,0mm" style="mso-fit-shape-to-text:t;">
                <w:txbxContent>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宋体"/>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宋体"/>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2"/>
    <w:multiLevelType w:val="multilevel"/>
    <w:tmpl w:val="00000002"/>
    <w:lvl w:ilvl="0" w:tentative="0">
      <w:start w:val="1"/>
      <w:numFmt w:val="chineseCountingThousand"/>
      <w:suff w:val="nothing"/>
      <w:lvlText w:val="第%1章  "/>
      <w:lvlJc w:val="left"/>
      <w:pPr>
        <w:ind w:firstLine="964"/>
      </w:pPr>
      <w:rPr>
        <w:rFonts w:hint="eastAsia" w:cs="Times New Roman"/>
      </w:rPr>
    </w:lvl>
    <w:lvl w:ilvl="1" w:tentative="0">
      <w:start w:val="1"/>
      <w:numFmt w:val="none"/>
      <w:suff w:val="nothing"/>
      <w:lvlText w:val=""/>
      <w:lvlJc w:val="left"/>
      <w:rPr>
        <w:rFonts w:hint="eastAsia" w:cs="Times New Roman"/>
      </w:rPr>
    </w:lvl>
    <w:lvl w:ilvl="2" w:tentative="0">
      <w:start w:val="1"/>
      <w:numFmt w:val="none"/>
      <w:pStyle w:val="7"/>
      <w:suff w:val="nothing"/>
      <w:lvlText w:val=""/>
      <w:lvlJc w:val="left"/>
      <w:rPr>
        <w:rFonts w:hint="eastAsia" w:cs="Times New Roman"/>
      </w:rPr>
    </w:lvl>
    <w:lvl w:ilvl="3" w:tentative="0">
      <w:start w:val="1"/>
      <w:numFmt w:val="none"/>
      <w:suff w:val="nothing"/>
      <w:lvlText w:val=""/>
      <w:lvlJc w:val="left"/>
      <w:rPr>
        <w:rFonts w:hint="eastAsia" w:cs="Times New Roman"/>
      </w:rPr>
    </w:lvl>
    <w:lvl w:ilvl="4" w:tentative="0">
      <w:start w:val="1"/>
      <w:numFmt w:val="none"/>
      <w:suff w:val="nothing"/>
      <w:lvlText w:val=""/>
      <w:lvlJc w:val="left"/>
      <w:rPr>
        <w:rFonts w:hint="eastAsia" w:cs="Times New Roman"/>
      </w:rPr>
    </w:lvl>
    <w:lvl w:ilvl="5" w:tentative="0">
      <w:start w:val="1"/>
      <w:numFmt w:val="none"/>
      <w:suff w:val="nothing"/>
      <w:lvlText w:val=""/>
      <w:lvlJc w:val="left"/>
      <w:rPr>
        <w:rFonts w:hint="eastAsia" w:cs="Times New Roman"/>
      </w:rPr>
    </w:lvl>
    <w:lvl w:ilvl="6" w:tentative="0">
      <w:start w:val="1"/>
      <w:numFmt w:val="none"/>
      <w:suff w:val="nothing"/>
      <w:lvlText w:val=""/>
      <w:lvlJc w:val="left"/>
      <w:rPr>
        <w:rFonts w:hint="eastAsia" w:cs="Times New Roman"/>
      </w:rPr>
    </w:lvl>
    <w:lvl w:ilvl="7" w:tentative="0">
      <w:start w:val="1"/>
      <w:numFmt w:val="none"/>
      <w:suff w:val="nothing"/>
      <w:lvlText w:val=""/>
      <w:lvlJc w:val="left"/>
      <w:rPr>
        <w:rFonts w:hint="eastAsia" w:cs="Times New Roman"/>
      </w:rPr>
    </w:lvl>
    <w:lvl w:ilvl="8" w:tentative="0">
      <w:start w:val="1"/>
      <w:numFmt w:val="none"/>
      <w:suff w:val="nothing"/>
      <w:lvlText w:val=""/>
      <w:lvlJc w:val="left"/>
      <w:rPr>
        <w:rFonts w:hint="eastAsia" w:cs="Times New Roman"/>
      </w:rPr>
    </w:lvl>
  </w:abstractNum>
  <w:abstractNum w:abstractNumId="1">
    <w:nsid w:val="387C05A9"/>
    <w:multiLevelType w:val="singleLevel"/>
    <w:tmpl w:val="387C05A9"/>
    <w:lvl w:ilvl="0" w:tentative="0">
      <w:start w:val="1"/>
      <w:numFmt w:val="decimal"/>
      <w:lvlText w:val="%1."/>
      <w:lvlJc w:val="left"/>
      <w:pPr>
        <w:tabs>
          <w:tab w:val="left" w:pos="312"/>
        </w:tabs>
      </w:pPr>
    </w:lvl>
  </w:abstractNum>
  <w:abstractNum w:abstractNumId="2">
    <w:nsid w:val="570B55D8"/>
    <w:multiLevelType w:val="singleLevel"/>
    <w:tmpl w:val="570B55D8"/>
    <w:lvl w:ilvl="0" w:tentative="0">
      <w:start w:val="7"/>
      <w:numFmt w:val="chineseCounting"/>
      <w:suff w:val="nothing"/>
      <w:lvlText w:val="%1、"/>
      <w:lvlJc w:val="left"/>
    </w:lvl>
  </w:abstractNum>
  <w:abstractNum w:abstractNumId="3">
    <w:nsid w:val="60DD4FA2"/>
    <w:multiLevelType w:val="multilevel"/>
    <w:tmpl w:val="60DD4FA2"/>
    <w:lvl w:ilvl="0" w:tentative="0">
      <w:start w:val="1"/>
      <w:numFmt w:val="japaneseCounting"/>
      <w:lvlText w:val="第%1章"/>
      <w:lvlJc w:val="left"/>
      <w:pPr>
        <w:ind w:left="1318" w:hanging="1080"/>
      </w:pPr>
      <w:rPr>
        <w:rFonts w:hint="default"/>
      </w:rPr>
    </w:lvl>
    <w:lvl w:ilvl="1" w:tentative="0">
      <w:start w:val="1"/>
      <w:numFmt w:val="lowerLetter"/>
      <w:lvlText w:val="%2)"/>
      <w:lvlJc w:val="left"/>
      <w:pPr>
        <w:ind w:left="1078" w:hanging="420"/>
      </w:pPr>
    </w:lvl>
    <w:lvl w:ilvl="2" w:tentative="0">
      <w:start w:val="1"/>
      <w:numFmt w:val="lowerRoman"/>
      <w:lvlText w:val="%3."/>
      <w:lvlJc w:val="right"/>
      <w:pPr>
        <w:ind w:left="1498" w:hanging="420"/>
      </w:pPr>
    </w:lvl>
    <w:lvl w:ilvl="3" w:tentative="0">
      <w:start w:val="1"/>
      <w:numFmt w:val="decimal"/>
      <w:lvlText w:val="%4."/>
      <w:lvlJc w:val="left"/>
      <w:pPr>
        <w:ind w:left="1918" w:hanging="420"/>
      </w:pPr>
    </w:lvl>
    <w:lvl w:ilvl="4" w:tentative="0">
      <w:start w:val="1"/>
      <w:numFmt w:val="lowerLetter"/>
      <w:lvlText w:val="%5)"/>
      <w:lvlJc w:val="left"/>
      <w:pPr>
        <w:ind w:left="2338" w:hanging="420"/>
      </w:pPr>
    </w:lvl>
    <w:lvl w:ilvl="5" w:tentative="0">
      <w:start w:val="1"/>
      <w:numFmt w:val="lowerRoman"/>
      <w:lvlText w:val="%6."/>
      <w:lvlJc w:val="right"/>
      <w:pPr>
        <w:ind w:left="2758" w:hanging="420"/>
      </w:pPr>
    </w:lvl>
    <w:lvl w:ilvl="6" w:tentative="0">
      <w:start w:val="1"/>
      <w:numFmt w:val="decimal"/>
      <w:lvlText w:val="%7."/>
      <w:lvlJc w:val="left"/>
      <w:pPr>
        <w:ind w:left="3178" w:hanging="420"/>
      </w:pPr>
    </w:lvl>
    <w:lvl w:ilvl="7" w:tentative="0">
      <w:start w:val="1"/>
      <w:numFmt w:val="lowerLetter"/>
      <w:lvlText w:val="%8)"/>
      <w:lvlJc w:val="left"/>
      <w:pPr>
        <w:ind w:left="3598" w:hanging="420"/>
      </w:pPr>
    </w:lvl>
    <w:lvl w:ilvl="8" w:tentative="0">
      <w:start w:val="1"/>
      <w:numFmt w:val="lowerRoman"/>
      <w:lvlText w:val="%9."/>
      <w:lvlJc w:val="right"/>
      <w:pPr>
        <w:ind w:left="4018" w:hanging="420"/>
      </w:p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attachedTemplate r:id="rId1"/>
  <w:documentProtection w:enforcement="0"/>
  <w:defaultTabStop w:val="420"/>
  <w:drawingGridHorizontalSpacing w:val="105"/>
  <w:drawingGridVerticalSpacing w:val="159"/>
  <w:displayHorizontalDrawingGridEvery w:val="1"/>
  <w:displayVerticalDrawingGridEvery w:val="1"/>
  <w:noPunctuationKerning w:val="1"/>
  <w:characterSpacingControl w:val="compressPunctuation"/>
  <w:hdrShapeDefaults>
    <o:shapelayout v:ext="edit">
      <o:idmap v:ext="edit" data="1"/>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A3ODBhYzYyYTRmOTU2MDFlMzRjYTA5MGE3YzNhNDEifQ=="/>
  </w:docVars>
  <w:rsids>
    <w:rsidRoot w:val="17D46344"/>
    <w:rsid w:val="000132A2"/>
    <w:rsid w:val="00014E1E"/>
    <w:rsid w:val="0003395E"/>
    <w:rsid w:val="00046071"/>
    <w:rsid w:val="00053AB0"/>
    <w:rsid w:val="00057142"/>
    <w:rsid w:val="00061155"/>
    <w:rsid w:val="0006772A"/>
    <w:rsid w:val="00090BE0"/>
    <w:rsid w:val="000939EF"/>
    <w:rsid w:val="000A2A5A"/>
    <w:rsid w:val="000A68FB"/>
    <w:rsid w:val="000C3D38"/>
    <w:rsid w:val="000D26D7"/>
    <w:rsid w:val="000E6650"/>
    <w:rsid w:val="000E6BD9"/>
    <w:rsid w:val="0011029F"/>
    <w:rsid w:val="00124237"/>
    <w:rsid w:val="00124512"/>
    <w:rsid w:val="00145310"/>
    <w:rsid w:val="001A2A1A"/>
    <w:rsid w:val="001B20CA"/>
    <w:rsid w:val="001C4CD1"/>
    <w:rsid w:val="001C75F2"/>
    <w:rsid w:val="001E375C"/>
    <w:rsid w:val="001F076A"/>
    <w:rsid w:val="00200AA3"/>
    <w:rsid w:val="00210239"/>
    <w:rsid w:val="0022163A"/>
    <w:rsid w:val="002250D8"/>
    <w:rsid w:val="002334A7"/>
    <w:rsid w:val="002378EF"/>
    <w:rsid w:val="0025400F"/>
    <w:rsid w:val="00280A07"/>
    <w:rsid w:val="00290FA9"/>
    <w:rsid w:val="00295F3A"/>
    <w:rsid w:val="00297AED"/>
    <w:rsid w:val="002B370D"/>
    <w:rsid w:val="002B702C"/>
    <w:rsid w:val="002B7B45"/>
    <w:rsid w:val="002C1909"/>
    <w:rsid w:val="002D2393"/>
    <w:rsid w:val="002F5DFA"/>
    <w:rsid w:val="003100A3"/>
    <w:rsid w:val="003174A0"/>
    <w:rsid w:val="0032043B"/>
    <w:rsid w:val="00320830"/>
    <w:rsid w:val="003232DF"/>
    <w:rsid w:val="0033074B"/>
    <w:rsid w:val="0033346E"/>
    <w:rsid w:val="0035120F"/>
    <w:rsid w:val="003626EE"/>
    <w:rsid w:val="00367FC0"/>
    <w:rsid w:val="00386CE0"/>
    <w:rsid w:val="003909D3"/>
    <w:rsid w:val="003950AC"/>
    <w:rsid w:val="003A7F00"/>
    <w:rsid w:val="003B078C"/>
    <w:rsid w:val="003B4346"/>
    <w:rsid w:val="003C7595"/>
    <w:rsid w:val="003D431D"/>
    <w:rsid w:val="003D4C92"/>
    <w:rsid w:val="003E41D9"/>
    <w:rsid w:val="003F7D75"/>
    <w:rsid w:val="00442C13"/>
    <w:rsid w:val="00443BB0"/>
    <w:rsid w:val="00444636"/>
    <w:rsid w:val="00445123"/>
    <w:rsid w:val="004534AE"/>
    <w:rsid w:val="00454AEF"/>
    <w:rsid w:val="00465D45"/>
    <w:rsid w:val="00476DA3"/>
    <w:rsid w:val="00483FF5"/>
    <w:rsid w:val="004874DF"/>
    <w:rsid w:val="004B57F8"/>
    <w:rsid w:val="004C3FD3"/>
    <w:rsid w:val="004D1614"/>
    <w:rsid w:val="004D4696"/>
    <w:rsid w:val="004E6DEB"/>
    <w:rsid w:val="004F4ECB"/>
    <w:rsid w:val="00503778"/>
    <w:rsid w:val="0050758E"/>
    <w:rsid w:val="00533429"/>
    <w:rsid w:val="00557FD2"/>
    <w:rsid w:val="005642E1"/>
    <w:rsid w:val="00566FBC"/>
    <w:rsid w:val="0057141E"/>
    <w:rsid w:val="005838C4"/>
    <w:rsid w:val="005B1FDD"/>
    <w:rsid w:val="005C06A2"/>
    <w:rsid w:val="005D662D"/>
    <w:rsid w:val="005E083B"/>
    <w:rsid w:val="005E0FD8"/>
    <w:rsid w:val="005E400E"/>
    <w:rsid w:val="00604040"/>
    <w:rsid w:val="0061544C"/>
    <w:rsid w:val="006157D4"/>
    <w:rsid w:val="00636698"/>
    <w:rsid w:val="00650AC3"/>
    <w:rsid w:val="00671668"/>
    <w:rsid w:val="006721CC"/>
    <w:rsid w:val="00687645"/>
    <w:rsid w:val="00697052"/>
    <w:rsid w:val="006976BB"/>
    <w:rsid w:val="006A0A65"/>
    <w:rsid w:val="006B1626"/>
    <w:rsid w:val="006C254D"/>
    <w:rsid w:val="006C7278"/>
    <w:rsid w:val="006D5351"/>
    <w:rsid w:val="006E7EC3"/>
    <w:rsid w:val="00700C0C"/>
    <w:rsid w:val="00710E63"/>
    <w:rsid w:val="00733AE5"/>
    <w:rsid w:val="00753BC2"/>
    <w:rsid w:val="00756878"/>
    <w:rsid w:val="00757ECC"/>
    <w:rsid w:val="00763A00"/>
    <w:rsid w:val="007748C3"/>
    <w:rsid w:val="0078048B"/>
    <w:rsid w:val="007860F9"/>
    <w:rsid w:val="007B5F79"/>
    <w:rsid w:val="007E3BCE"/>
    <w:rsid w:val="007F4502"/>
    <w:rsid w:val="00803262"/>
    <w:rsid w:val="00840D7B"/>
    <w:rsid w:val="00857A5B"/>
    <w:rsid w:val="0086123A"/>
    <w:rsid w:val="00863E29"/>
    <w:rsid w:val="0087168D"/>
    <w:rsid w:val="0088310C"/>
    <w:rsid w:val="00893990"/>
    <w:rsid w:val="008A2C6E"/>
    <w:rsid w:val="008A54DD"/>
    <w:rsid w:val="008A63BB"/>
    <w:rsid w:val="008B4F54"/>
    <w:rsid w:val="008D28D8"/>
    <w:rsid w:val="008E28BD"/>
    <w:rsid w:val="00901AF9"/>
    <w:rsid w:val="00902262"/>
    <w:rsid w:val="0091321B"/>
    <w:rsid w:val="009150EF"/>
    <w:rsid w:val="00940271"/>
    <w:rsid w:val="009777F5"/>
    <w:rsid w:val="009809F9"/>
    <w:rsid w:val="00984210"/>
    <w:rsid w:val="00984905"/>
    <w:rsid w:val="009A16C1"/>
    <w:rsid w:val="009A300D"/>
    <w:rsid w:val="009A6650"/>
    <w:rsid w:val="009B35E8"/>
    <w:rsid w:val="009D7C7D"/>
    <w:rsid w:val="00A02219"/>
    <w:rsid w:val="00A13374"/>
    <w:rsid w:val="00A14D5F"/>
    <w:rsid w:val="00A21F24"/>
    <w:rsid w:val="00A265E3"/>
    <w:rsid w:val="00A32562"/>
    <w:rsid w:val="00A4666F"/>
    <w:rsid w:val="00A524EA"/>
    <w:rsid w:val="00A5635A"/>
    <w:rsid w:val="00A57C9A"/>
    <w:rsid w:val="00A60658"/>
    <w:rsid w:val="00A61EC7"/>
    <w:rsid w:val="00A66619"/>
    <w:rsid w:val="00A76761"/>
    <w:rsid w:val="00AC676F"/>
    <w:rsid w:val="00AD2731"/>
    <w:rsid w:val="00AD2E7D"/>
    <w:rsid w:val="00AE7358"/>
    <w:rsid w:val="00AF5B74"/>
    <w:rsid w:val="00B00B9E"/>
    <w:rsid w:val="00B024A0"/>
    <w:rsid w:val="00B12D3E"/>
    <w:rsid w:val="00B12F21"/>
    <w:rsid w:val="00B215C0"/>
    <w:rsid w:val="00B51F91"/>
    <w:rsid w:val="00B6199F"/>
    <w:rsid w:val="00B643DE"/>
    <w:rsid w:val="00B81624"/>
    <w:rsid w:val="00B85130"/>
    <w:rsid w:val="00B856F1"/>
    <w:rsid w:val="00B85A05"/>
    <w:rsid w:val="00BA4B43"/>
    <w:rsid w:val="00BA6349"/>
    <w:rsid w:val="00BE34F2"/>
    <w:rsid w:val="00BF6AA3"/>
    <w:rsid w:val="00C14A3E"/>
    <w:rsid w:val="00C47BFB"/>
    <w:rsid w:val="00C53442"/>
    <w:rsid w:val="00C610BE"/>
    <w:rsid w:val="00C644C5"/>
    <w:rsid w:val="00C73CF5"/>
    <w:rsid w:val="00C816EB"/>
    <w:rsid w:val="00C82423"/>
    <w:rsid w:val="00C84643"/>
    <w:rsid w:val="00CB21CF"/>
    <w:rsid w:val="00CB39F2"/>
    <w:rsid w:val="00CD60E7"/>
    <w:rsid w:val="00CE12A8"/>
    <w:rsid w:val="00CE2300"/>
    <w:rsid w:val="00CF60A9"/>
    <w:rsid w:val="00D10AF5"/>
    <w:rsid w:val="00D262CB"/>
    <w:rsid w:val="00D4054E"/>
    <w:rsid w:val="00D753E6"/>
    <w:rsid w:val="00D76493"/>
    <w:rsid w:val="00D81693"/>
    <w:rsid w:val="00DA0533"/>
    <w:rsid w:val="00DA160A"/>
    <w:rsid w:val="00DF74C1"/>
    <w:rsid w:val="00E11BF6"/>
    <w:rsid w:val="00E12500"/>
    <w:rsid w:val="00E2526F"/>
    <w:rsid w:val="00E26078"/>
    <w:rsid w:val="00E34A0C"/>
    <w:rsid w:val="00E401A2"/>
    <w:rsid w:val="00E40835"/>
    <w:rsid w:val="00E42DEB"/>
    <w:rsid w:val="00E46C20"/>
    <w:rsid w:val="00E620F5"/>
    <w:rsid w:val="00E66723"/>
    <w:rsid w:val="00E71651"/>
    <w:rsid w:val="00E75A3B"/>
    <w:rsid w:val="00E82116"/>
    <w:rsid w:val="00E8618C"/>
    <w:rsid w:val="00EB43BA"/>
    <w:rsid w:val="00EC18D4"/>
    <w:rsid w:val="00EF36B3"/>
    <w:rsid w:val="00F02548"/>
    <w:rsid w:val="00F02F0A"/>
    <w:rsid w:val="00F07177"/>
    <w:rsid w:val="00F414BF"/>
    <w:rsid w:val="00F45BF3"/>
    <w:rsid w:val="00F61DAD"/>
    <w:rsid w:val="00F62801"/>
    <w:rsid w:val="00F941AE"/>
    <w:rsid w:val="00FA5542"/>
    <w:rsid w:val="00FA64DC"/>
    <w:rsid w:val="00FB5986"/>
    <w:rsid w:val="00FC0D62"/>
    <w:rsid w:val="00FD4DAB"/>
    <w:rsid w:val="00FE1BF0"/>
    <w:rsid w:val="00FE24A9"/>
    <w:rsid w:val="00FF3043"/>
    <w:rsid w:val="010954FC"/>
    <w:rsid w:val="010B1842"/>
    <w:rsid w:val="01A96C88"/>
    <w:rsid w:val="01C268D7"/>
    <w:rsid w:val="024E7E34"/>
    <w:rsid w:val="026E4641"/>
    <w:rsid w:val="02A87086"/>
    <w:rsid w:val="0344455C"/>
    <w:rsid w:val="03AB5A37"/>
    <w:rsid w:val="03D15ABC"/>
    <w:rsid w:val="03F87849"/>
    <w:rsid w:val="043265ED"/>
    <w:rsid w:val="04C35E11"/>
    <w:rsid w:val="054138E3"/>
    <w:rsid w:val="056E043F"/>
    <w:rsid w:val="05760640"/>
    <w:rsid w:val="057C5441"/>
    <w:rsid w:val="05812B41"/>
    <w:rsid w:val="05962755"/>
    <w:rsid w:val="05BB0CE0"/>
    <w:rsid w:val="063F6C84"/>
    <w:rsid w:val="065D35AE"/>
    <w:rsid w:val="066F1ED1"/>
    <w:rsid w:val="06AD5647"/>
    <w:rsid w:val="06BE6425"/>
    <w:rsid w:val="06BF609C"/>
    <w:rsid w:val="07064F2D"/>
    <w:rsid w:val="073A633E"/>
    <w:rsid w:val="076C56D4"/>
    <w:rsid w:val="078A2E29"/>
    <w:rsid w:val="07DC63DC"/>
    <w:rsid w:val="08F14E86"/>
    <w:rsid w:val="08FD2D02"/>
    <w:rsid w:val="094840A2"/>
    <w:rsid w:val="09FF67ED"/>
    <w:rsid w:val="0A685934"/>
    <w:rsid w:val="0AA75373"/>
    <w:rsid w:val="0AF73FD4"/>
    <w:rsid w:val="0B560A80"/>
    <w:rsid w:val="0BDE4F88"/>
    <w:rsid w:val="0BF2247E"/>
    <w:rsid w:val="0C3D67FB"/>
    <w:rsid w:val="0C762CD4"/>
    <w:rsid w:val="0C86753C"/>
    <w:rsid w:val="0C8E2713"/>
    <w:rsid w:val="0CB96085"/>
    <w:rsid w:val="0CCC0884"/>
    <w:rsid w:val="0D735465"/>
    <w:rsid w:val="0D8670BE"/>
    <w:rsid w:val="0D8D6983"/>
    <w:rsid w:val="0E0C3E24"/>
    <w:rsid w:val="0E5C3669"/>
    <w:rsid w:val="0E6869AA"/>
    <w:rsid w:val="0E9E6512"/>
    <w:rsid w:val="0EB977F0"/>
    <w:rsid w:val="0ED34CF7"/>
    <w:rsid w:val="0EEC7BA6"/>
    <w:rsid w:val="0EFD4D2D"/>
    <w:rsid w:val="0F1F6CBB"/>
    <w:rsid w:val="0F6159A2"/>
    <w:rsid w:val="0F892D29"/>
    <w:rsid w:val="0FE61EC6"/>
    <w:rsid w:val="115C3E6F"/>
    <w:rsid w:val="11DA17B3"/>
    <w:rsid w:val="12354787"/>
    <w:rsid w:val="12BD1987"/>
    <w:rsid w:val="12D325AD"/>
    <w:rsid w:val="12E36974"/>
    <w:rsid w:val="13231533"/>
    <w:rsid w:val="132A7356"/>
    <w:rsid w:val="13571FB3"/>
    <w:rsid w:val="13B251F2"/>
    <w:rsid w:val="13C602CC"/>
    <w:rsid w:val="140E1361"/>
    <w:rsid w:val="142851FC"/>
    <w:rsid w:val="14CB3D60"/>
    <w:rsid w:val="14E56E23"/>
    <w:rsid w:val="14FC10BC"/>
    <w:rsid w:val="15745AC0"/>
    <w:rsid w:val="157502AF"/>
    <w:rsid w:val="158005E4"/>
    <w:rsid w:val="15AD693F"/>
    <w:rsid w:val="15AE7646"/>
    <w:rsid w:val="15CA1D79"/>
    <w:rsid w:val="15D527D2"/>
    <w:rsid w:val="16605DED"/>
    <w:rsid w:val="16610152"/>
    <w:rsid w:val="16B66298"/>
    <w:rsid w:val="16D21D27"/>
    <w:rsid w:val="170535D2"/>
    <w:rsid w:val="17167C82"/>
    <w:rsid w:val="172A4ACD"/>
    <w:rsid w:val="17326391"/>
    <w:rsid w:val="177A21B0"/>
    <w:rsid w:val="17D14880"/>
    <w:rsid w:val="17D46344"/>
    <w:rsid w:val="17E01949"/>
    <w:rsid w:val="17ED150C"/>
    <w:rsid w:val="185719DE"/>
    <w:rsid w:val="188B2F75"/>
    <w:rsid w:val="188B3FAB"/>
    <w:rsid w:val="191948E9"/>
    <w:rsid w:val="1A8A6543"/>
    <w:rsid w:val="1A9759C4"/>
    <w:rsid w:val="1AA17AB6"/>
    <w:rsid w:val="1AC67B91"/>
    <w:rsid w:val="1AFD5285"/>
    <w:rsid w:val="1BCC0565"/>
    <w:rsid w:val="1C2D6F1E"/>
    <w:rsid w:val="1D0B4383"/>
    <w:rsid w:val="1D5A13F5"/>
    <w:rsid w:val="1D9C7CD3"/>
    <w:rsid w:val="1DD90149"/>
    <w:rsid w:val="1E522E75"/>
    <w:rsid w:val="1E602499"/>
    <w:rsid w:val="1E6B3850"/>
    <w:rsid w:val="1ED55F80"/>
    <w:rsid w:val="1EDC1CBA"/>
    <w:rsid w:val="1F387E86"/>
    <w:rsid w:val="1F44616C"/>
    <w:rsid w:val="20283175"/>
    <w:rsid w:val="206D3F96"/>
    <w:rsid w:val="20840EFE"/>
    <w:rsid w:val="20AD6ECA"/>
    <w:rsid w:val="20C42D65"/>
    <w:rsid w:val="20D414F4"/>
    <w:rsid w:val="216E7FC6"/>
    <w:rsid w:val="21910630"/>
    <w:rsid w:val="22236F9E"/>
    <w:rsid w:val="224C7D77"/>
    <w:rsid w:val="2284644F"/>
    <w:rsid w:val="229C6A49"/>
    <w:rsid w:val="22A114AB"/>
    <w:rsid w:val="2349415A"/>
    <w:rsid w:val="23753417"/>
    <w:rsid w:val="23A176D2"/>
    <w:rsid w:val="23A2454D"/>
    <w:rsid w:val="24482643"/>
    <w:rsid w:val="24D008B2"/>
    <w:rsid w:val="251B66B7"/>
    <w:rsid w:val="252235A1"/>
    <w:rsid w:val="255D6CCF"/>
    <w:rsid w:val="256A5140"/>
    <w:rsid w:val="257D276E"/>
    <w:rsid w:val="25AB06FB"/>
    <w:rsid w:val="25B5528E"/>
    <w:rsid w:val="25BD003C"/>
    <w:rsid w:val="25D915E7"/>
    <w:rsid w:val="25EC3819"/>
    <w:rsid w:val="260B429B"/>
    <w:rsid w:val="26155B33"/>
    <w:rsid w:val="26480D97"/>
    <w:rsid w:val="26633E71"/>
    <w:rsid w:val="268902FF"/>
    <w:rsid w:val="275A6E86"/>
    <w:rsid w:val="27C60E05"/>
    <w:rsid w:val="281726D9"/>
    <w:rsid w:val="284535C9"/>
    <w:rsid w:val="28667D5D"/>
    <w:rsid w:val="290E5610"/>
    <w:rsid w:val="29647755"/>
    <w:rsid w:val="2979501E"/>
    <w:rsid w:val="2A020CD7"/>
    <w:rsid w:val="2A4047AF"/>
    <w:rsid w:val="2A443FBA"/>
    <w:rsid w:val="2A4508C5"/>
    <w:rsid w:val="2A467D32"/>
    <w:rsid w:val="2AD755F7"/>
    <w:rsid w:val="2AE73D3A"/>
    <w:rsid w:val="2B4A64A6"/>
    <w:rsid w:val="2BA07B5C"/>
    <w:rsid w:val="2C444745"/>
    <w:rsid w:val="2C9D6CDB"/>
    <w:rsid w:val="2CC71DF2"/>
    <w:rsid w:val="2D1D71A5"/>
    <w:rsid w:val="2D4805D8"/>
    <w:rsid w:val="2D4C1195"/>
    <w:rsid w:val="2D866137"/>
    <w:rsid w:val="2DE23F54"/>
    <w:rsid w:val="2DF16F3B"/>
    <w:rsid w:val="2E66398B"/>
    <w:rsid w:val="2E777886"/>
    <w:rsid w:val="2ECF2E25"/>
    <w:rsid w:val="2EF452FB"/>
    <w:rsid w:val="2F0B32F8"/>
    <w:rsid w:val="2F1A4FD5"/>
    <w:rsid w:val="2FA874B6"/>
    <w:rsid w:val="303171EB"/>
    <w:rsid w:val="303625F7"/>
    <w:rsid w:val="30406FD1"/>
    <w:rsid w:val="305B44E3"/>
    <w:rsid w:val="3096519F"/>
    <w:rsid w:val="309704E6"/>
    <w:rsid w:val="30D53BBD"/>
    <w:rsid w:val="31217A55"/>
    <w:rsid w:val="313844C5"/>
    <w:rsid w:val="31803FF0"/>
    <w:rsid w:val="318319E3"/>
    <w:rsid w:val="31AC254D"/>
    <w:rsid w:val="31E92DC9"/>
    <w:rsid w:val="3230262D"/>
    <w:rsid w:val="327219E3"/>
    <w:rsid w:val="32822998"/>
    <w:rsid w:val="32AB77DD"/>
    <w:rsid w:val="32C52348"/>
    <w:rsid w:val="33861E21"/>
    <w:rsid w:val="338813BB"/>
    <w:rsid w:val="33C7324E"/>
    <w:rsid w:val="33F2410C"/>
    <w:rsid w:val="33F41078"/>
    <w:rsid w:val="33FE342B"/>
    <w:rsid w:val="340622E0"/>
    <w:rsid w:val="340802CA"/>
    <w:rsid w:val="34667B96"/>
    <w:rsid w:val="349210B6"/>
    <w:rsid w:val="34C122AF"/>
    <w:rsid w:val="3500579E"/>
    <w:rsid w:val="35505208"/>
    <w:rsid w:val="35516255"/>
    <w:rsid w:val="35F26FC0"/>
    <w:rsid w:val="35F40F8A"/>
    <w:rsid w:val="36160862"/>
    <w:rsid w:val="366B643D"/>
    <w:rsid w:val="3684230E"/>
    <w:rsid w:val="37407C3D"/>
    <w:rsid w:val="37931D11"/>
    <w:rsid w:val="37AB47ED"/>
    <w:rsid w:val="37C5058F"/>
    <w:rsid w:val="383B1F9E"/>
    <w:rsid w:val="38D93765"/>
    <w:rsid w:val="392A3529"/>
    <w:rsid w:val="39856509"/>
    <w:rsid w:val="39966CA5"/>
    <w:rsid w:val="3A1669C2"/>
    <w:rsid w:val="3A34785C"/>
    <w:rsid w:val="3A4418D3"/>
    <w:rsid w:val="3A8C1EEB"/>
    <w:rsid w:val="3AE22A0F"/>
    <w:rsid w:val="3AFF346E"/>
    <w:rsid w:val="3B6922D5"/>
    <w:rsid w:val="3BA507B1"/>
    <w:rsid w:val="3C035857"/>
    <w:rsid w:val="3CAB0364"/>
    <w:rsid w:val="3DB15F42"/>
    <w:rsid w:val="3DDA4089"/>
    <w:rsid w:val="3E151B31"/>
    <w:rsid w:val="3E2F57D6"/>
    <w:rsid w:val="3E8E2733"/>
    <w:rsid w:val="3EA92FC7"/>
    <w:rsid w:val="3EBA2645"/>
    <w:rsid w:val="3ECC05DE"/>
    <w:rsid w:val="3F024E9A"/>
    <w:rsid w:val="3FD9190E"/>
    <w:rsid w:val="40214084"/>
    <w:rsid w:val="40967D84"/>
    <w:rsid w:val="409A12D2"/>
    <w:rsid w:val="40F65292"/>
    <w:rsid w:val="41554B20"/>
    <w:rsid w:val="41C44089"/>
    <w:rsid w:val="41D97952"/>
    <w:rsid w:val="423B508F"/>
    <w:rsid w:val="425744CF"/>
    <w:rsid w:val="42BA638F"/>
    <w:rsid w:val="431449CD"/>
    <w:rsid w:val="43364990"/>
    <w:rsid w:val="43735EF2"/>
    <w:rsid w:val="44384737"/>
    <w:rsid w:val="44F461CB"/>
    <w:rsid w:val="451B2DDC"/>
    <w:rsid w:val="4563545A"/>
    <w:rsid w:val="45C70E4A"/>
    <w:rsid w:val="46267924"/>
    <w:rsid w:val="46717E46"/>
    <w:rsid w:val="46BA2FBB"/>
    <w:rsid w:val="46C2653A"/>
    <w:rsid w:val="46DE0DE1"/>
    <w:rsid w:val="47277DB0"/>
    <w:rsid w:val="47681F8B"/>
    <w:rsid w:val="47683DA1"/>
    <w:rsid w:val="477647C2"/>
    <w:rsid w:val="48694386"/>
    <w:rsid w:val="48917D88"/>
    <w:rsid w:val="48B82CB2"/>
    <w:rsid w:val="48D64D68"/>
    <w:rsid w:val="490B392E"/>
    <w:rsid w:val="49117305"/>
    <w:rsid w:val="495A2EA7"/>
    <w:rsid w:val="49677981"/>
    <w:rsid w:val="49690EEF"/>
    <w:rsid w:val="49696DFB"/>
    <w:rsid w:val="49926698"/>
    <w:rsid w:val="49941F85"/>
    <w:rsid w:val="49B819E2"/>
    <w:rsid w:val="4A1414DB"/>
    <w:rsid w:val="4A2B31BB"/>
    <w:rsid w:val="4A8B4A7A"/>
    <w:rsid w:val="4A924CD5"/>
    <w:rsid w:val="4A9401EE"/>
    <w:rsid w:val="4B647976"/>
    <w:rsid w:val="4B687CB4"/>
    <w:rsid w:val="4B911A94"/>
    <w:rsid w:val="4BF50A94"/>
    <w:rsid w:val="4CD121B7"/>
    <w:rsid w:val="4CD6481C"/>
    <w:rsid w:val="4D0B5434"/>
    <w:rsid w:val="4D4B0259"/>
    <w:rsid w:val="4D4B54DB"/>
    <w:rsid w:val="4D534466"/>
    <w:rsid w:val="4D650B7E"/>
    <w:rsid w:val="4D7273AC"/>
    <w:rsid w:val="4D986FCA"/>
    <w:rsid w:val="4DC17938"/>
    <w:rsid w:val="4E3A1DCD"/>
    <w:rsid w:val="4EAA786E"/>
    <w:rsid w:val="4EB86DD0"/>
    <w:rsid w:val="4EC72940"/>
    <w:rsid w:val="4EFC7675"/>
    <w:rsid w:val="4F0771E0"/>
    <w:rsid w:val="4F136DBB"/>
    <w:rsid w:val="4F3F2E1E"/>
    <w:rsid w:val="4F894B2F"/>
    <w:rsid w:val="4F8A5691"/>
    <w:rsid w:val="4FAC7673"/>
    <w:rsid w:val="4FB42BA4"/>
    <w:rsid w:val="4FCC5976"/>
    <w:rsid w:val="4FD104D5"/>
    <w:rsid w:val="4FE92D8A"/>
    <w:rsid w:val="50234EE5"/>
    <w:rsid w:val="503D1867"/>
    <w:rsid w:val="50E0518E"/>
    <w:rsid w:val="51120CF7"/>
    <w:rsid w:val="519C6593"/>
    <w:rsid w:val="51AD1A71"/>
    <w:rsid w:val="51DF25F2"/>
    <w:rsid w:val="51F823A1"/>
    <w:rsid w:val="52554335"/>
    <w:rsid w:val="525919E4"/>
    <w:rsid w:val="527D7680"/>
    <w:rsid w:val="52B9562D"/>
    <w:rsid w:val="530B30F2"/>
    <w:rsid w:val="53154288"/>
    <w:rsid w:val="53286C00"/>
    <w:rsid w:val="53642F90"/>
    <w:rsid w:val="53986FA1"/>
    <w:rsid w:val="53B51901"/>
    <w:rsid w:val="53E954CE"/>
    <w:rsid w:val="541E7A6B"/>
    <w:rsid w:val="542C0982"/>
    <w:rsid w:val="546C2DBB"/>
    <w:rsid w:val="547E38A6"/>
    <w:rsid w:val="54A90D1A"/>
    <w:rsid w:val="557B6877"/>
    <w:rsid w:val="55E7771A"/>
    <w:rsid w:val="564577AB"/>
    <w:rsid w:val="56F75715"/>
    <w:rsid w:val="576F0018"/>
    <w:rsid w:val="57C971CB"/>
    <w:rsid w:val="57D4652D"/>
    <w:rsid w:val="57E74053"/>
    <w:rsid w:val="58263B97"/>
    <w:rsid w:val="582901C7"/>
    <w:rsid w:val="58364D6D"/>
    <w:rsid w:val="58475B00"/>
    <w:rsid w:val="58981BE4"/>
    <w:rsid w:val="589F14D0"/>
    <w:rsid w:val="58B4208E"/>
    <w:rsid w:val="58E930DF"/>
    <w:rsid w:val="5972035B"/>
    <w:rsid w:val="598F49A2"/>
    <w:rsid w:val="5A660D4E"/>
    <w:rsid w:val="5A817B0D"/>
    <w:rsid w:val="5AA24261"/>
    <w:rsid w:val="5AAB323C"/>
    <w:rsid w:val="5B3809A4"/>
    <w:rsid w:val="5B661D3E"/>
    <w:rsid w:val="5C150452"/>
    <w:rsid w:val="5C24022B"/>
    <w:rsid w:val="5C963A8A"/>
    <w:rsid w:val="5CE60BF5"/>
    <w:rsid w:val="5CFA64BB"/>
    <w:rsid w:val="5D4A3EFC"/>
    <w:rsid w:val="5D4E769C"/>
    <w:rsid w:val="5DD54E8B"/>
    <w:rsid w:val="5DEB2B8A"/>
    <w:rsid w:val="5DF9473C"/>
    <w:rsid w:val="5E0043EB"/>
    <w:rsid w:val="5E6801F6"/>
    <w:rsid w:val="5E8D55E7"/>
    <w:rsid w:val="5F25283E"/>
    <w:rsid w:val="5F443548"/>
    <w:rsid w:val="5F4A2384"/>
    <w:rsid w:val="5FE82E15"/>
    <w:rsid w:val="60197873"/>
    <w:rsid w:val="608C47AD"/>
    <w:rsid w:val="613E3492"/>
    <w:rsid w:val="61557B69"/>
    <w:rsid w:val="61D31C75"/>
    <w:rsid w:val="61EF3D70"/>
    <w:rsid w:val="62347CE8"/>
    <w:rsid w:val="62516C98"/>
    <w:rsid w:val="62AB7DAA"/>
    <w:rsid w:val="62BE3C02"/>
    <w:rsid w:val="64044FBC"/>
    <w:rsid w:val="6435364B"/>
    <w:rsid w:val="643979E4"/>
    <w:rsid w:val="64400C58"/>
    <w:rsid w:val="64417910"/>
    <w:rsid w:val="646E2237"/>
    <w:rsid w:val="64756074"/>
    <w:rsid w:val="649C2CAC"/>
    <w:rsid w:val="64E20C7C"/>
    <w:rsid w:val="65190998"/>
    <w:rsid w:val="654815BA"/>
    <w:rsid w:val="655F4A2A"/>
    <w:rsid w:val="6581707A"/>
    <w:rsid w:val="66150F73"/>
    <w:rsid w:val="661E4002"/>
    <w:rsid w:val="663B3B08"/>
    <w:rsid w:val="66D962DF"/>
    <w:rsid w:val="673B1C5F"/>
    <w:rsid w:val="67BE4817"/>
    <w:rsid w:val="68B84113"/>
    <w:rsid w:val="68DF7CB3"/>
    <w:rsid w:val="68E36170"/>
    <w:rsid w:val="69077DF7"/>
    <w:rsid w:val="691E158F"/>
    <w:rsid w:val="692C5600"/>
    <w:rsid w:val="698C1F88"/>
    <w:rsid w:val="699E1BC4"/>
    <w:rsid w:val="69B36B93"/>
    <w:rsid w:val="69F43E42"/>
    <w:rsid w:val="6A42100A"/>
    <w:rsid w:val="6A46782D"/>
    <w:rsid w:val="6A5A270D"/>
    <w:rsid w:val="6A6570A7"/>
    <w:rsid w:val="6AD16E19"/>
    <w:rsid w:val="6AD71EB7"/>
    <w:rsid w:val="6ADC1F8C"/>
    <w:rsid w:val="6B2356CB"/>
    <w:rsid w:val="6B4560F1"/>
    <w:rsid w:val="6B5A0A53"/>
    <w:rsid w:val="6BAD57CD"/>
    <w:rsid w:val="6BC7049F"/>
    <w:rsid w:val="6BD67D9C"/>
    <w:rsid w:val="6C0F3245"/>
    <w:rsid w:val="6C3E6C02"/>
    <w:rsid w:val="6C601B62"/>
    <w:rsid w:val="6C92548F"/>
    <w:rsid w:val="6C955D99"/>
    <w:rsid w:val="6CAE1BE4"/>
    <w:rsid w:val="6CDB3535"/>
    <w:rsid w:val="6CFC3CA5"/>
    <w:rsid w:val="6D535020"/>
    <w:rsid w:val="6D8048D6"/>
    <w:rsid w:val="6DB72303"/>
    <w:rsid w:val="6DCA78FF"/>
    <w:rsid w:val="6E241040"/>
    <w:rsid w:val="6E932525"/>
    <w:rsid w:val="6EC4352D"/>
    <w:rsid w:val="6EE52005"/>
    <w:rsid w:val="6F6F4ADE"/>
    <w:rsid w:val="6F8B0BCB"/>
    <w:rsid w:val="6F996FEA"/>
    <w:rsid w:val="70404269"/>
    <w:rsid w:val="70781894"/>
    <w:rsid w:val="70EC6D02"/>
    <w:rsid w:val="714B41D5"/>
    <w:rsid w:val="71627FFF"/>
    <w:rsid w:val="71C063CB"/>
    <w:rsid w:val="71FD793A"/>
    <w:rsid w:val="72600C41"/>
    <w:rsid w:val="72B24580"/>
    <w:rsid w:val="72EE397C"/>
    <w:rsid w:val="73141F2D"/>
    <w:rsid w:val="73264A06"/>
    <w:rsid w:val="73421A24"/>
    <w:rsid w:val="735D6FAF"/>
    <w:rsid w:val="73611E73"/>
    <w:rsid w:val="736C6F49"/>
    <w:rsid w:val="74746816"/>
    <w:rsid w:val="747E5726"/>
    <w:rsid w:val="74D06143"/>
    <w:rsid w:val="74ED4B84"/>
    <w:rsid w:val="75054A42"/>
    <w:rsid w:val="7507471D"/>
    <w:rsid w:val="75E83E72"/>
    <w:rsid w:val="75FC0B1E"/>
    <w:rsid w:val="76011B48"/>
    <w:rsid w:val="761121A2"/>
    <w:rsid w:val="76386695"/>
    <w:rsid w:val="763A49C9"/>
    <w:rsid w:val="766D5B37"/>
    <w:rsid w:val="7674001C"/>
    <w:rsid w:val="767F56B9"/>
    <w:rsid w:val="769166C3"/>
    <w:rsid w:val="76AB3B03"/>
    <w:rsid w:val="76BC49D3"/>
    <w:rsid w:val="76E934EC"/>
    <w:rsid w:val="76EC2EC0"/>
    <w:rsid w:val="77036A4E"/>
    <w:rsid w:val="771971C2"/>
    <w:rsid w:val="77202BB3"/>
    <w:rsid w:val="777C7EBC"/>
    <w:rsid w:val="778252BA"/>
    <w:rsid w:val="77A23CEC"/>
    <w:rsid w:val="77EE4EDB"/>
    <w:rsid w:val="77FF1415"/>
    <w:rsid w:val="780F4771"/>
    <w:rsid w:val="783E56FD"/>
    <w:rsid w:val="78B51C47"/>
    <w:rsid w:val="790D34AE"/>
    <w:rsid w:val="79604890"/>
    <w:rsid w:val="79A24A66"/>
    <w:rsid w:val="7A005697"/>
    <w:rsid w:val="7A1F14FA"/>
    <w:rsid w:val="7A4D5B40"/>
    <w:rsid w:val="7A684F59"/>
    <w:rsid w:val="7A7418D6"/>
    <w:rsid w:val="7A871A03"/>
    <w:rsid w:val="7B9E513B"/>
    <w:rsid w:val="7BDB197F"/>
    <w:rsid w:val="7BF12528"/>
    <w:rsid w:val="7C064C5E"/>
    <w:rsid w:val="7C8762D5"/>
    <w:rsid w:val="7CA61FEA"/>
    <w:rsid w:val="7CED1322"/>
    <w:rsid w:val="7D074CD4"/>
    <w:rsid w:val="7D6255CE"/>
    <w:rsid w:val="7DD6409E"/>
    <w:rsid w:val="7E66453C"/>
    <w:rsid w:val="7E732C57"/>
    <w:rsid w:val="7EC976D5"/>
    <w:rsid w:val="7F1E0EC5"/>
    <w:rsid w:val="7F8D611A"/>
    <w:rsid w:val="7FA672E1"/>
    <w:rsid w:val="7FDA36DA"/>
    <w:rsid w:val="7FE0022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9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99"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99" w:semiHidden="0" w:name="Body Text First Indent"/>
    <w:lsdException w:qFormat="1" w:unhideWhenUsed="0" w:uiPriority="0" w:semiHidden="0" w:name="Body Text First Indent 2"/>
    <w:lsdException w:unhideWhenUsed="0" w:uiPriority="0" w:semiHidden="0" w:name="Note Heading"/>
    <w:lsdException w:qFormat="1" w:unhideWhenUsed="0" w:uiPriority="99"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42"/>
    <w:qFormat/>
    <w:uiPriority w:val="0"/>
    <w:pPr>
      <w:keepNext/>
      <w:keepLines/>
      <w:spacing w:before="340" w:after="330" w:line="576" w:lineRule="auto"/>
      <w:outlineLvl w:val="0"/>
    </w:pPr>
    <w:rPr>
      <w:b/>
      <w:kern w:val="44"/>
      <w:sz w:val="44"/>
    </w:rPr>
  </w:style>
  <w:style w:type="paragraph" w:styleId="6">
    <w:name w:val="heading 2"/>
    <w:basedOn w:val="1"/>
    <w:next w:val="1"/>
    <w:qFormat/>
    <w:uiPriority w:val="0"/>
    <w:pPr>
      <w:keepNext/>
      <w:keepLines/>
      <w:spacing w:before="260" w:after="260" w:line="416" w:lineRule="auto"/>
      <w:outlineLvl w:val="1"/>
    </w:pPr>
    <w:rPr>
      <w:rFonts w:ascii="Cambria" w:hAnsi="Cambria"/>
      <w:b/>
      <w:bCs/>
      <w:sz w:val="32"/>
      <w:szCs w:val="32"/>
    </w:rPr>
  </w:style>
  <w:style w:type="paragraph" w:styleId="7">
    <w:name w:val="heading 3"/>
    <w:basedOn w:val="1"/>
    <w:next w:val="1"/>
    <w:qFormat/>
    <w:uiPriority w:val="0"/>
    <w:pPr>
      <w:keepNext/>
      <w:keepLines/>
      <w:numPr>
        <w:ilvl w:val="2"/>
        <w:numId w:val="1"/>
      </w:numPr>
      <w:spacing w:before="260" w:after="260" w:line="413" w:lineRule="auto"/>
      <w:jc w:val="center"/>
      <w:outlineLvl w:val="2"/>
    </w:pPr>
    <w:rPr>
      <w:rFonts w:ascii="宋体"/>
      <w:b/>
      <w:bCs/>
      <w:sz w:val="32"/>
      <w:szCs w:val="32"/>
    </w:rPr>
  </w:style>
  <w:style w:type="paragraph" w:styleId="8">
    <w:name w:val="heading 4"/>
    <w:basedOn w:val="1"/>
    <w:next w:val="1"/>
    <w:qFormat/>
    <w:uiPriority w:val="99"/>
    <w:pPr>
      <w:keepNext/>
      <w:keepLines/>
      <w:spacing w:before="280" w:after="290" w:line="376" w:lineRule="auto"/>
      <w:outlineLvl w:val="3"/>
    </w:pPr>
    <w:rPr>
      <w:rFonts w:ascii="Cambria" w:hAnsi="Cambria"/>
      <w:b/>
      <w:bCs/>
      <w:kern w:val="0"/>
      <w:sz w:val="28"/>
      <w:szCs w:val="28"/>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qFormat/>
    <w:uiPriority w:val="0"/>
    <w:pPr>
      <w:ind w:firstLine="420"/>
    </w:pPr>
  </w:style>
  <w:style w:type="paragraph" w:styleId="3">
    <w:name w:val="Body Text Indent"/>
    <w:basedOn w:val="1"/>
    <w:next w:val="4"/>
    <w:qFormat/>
    <w:uiPriority w:val="0"/>
    <w:rPr>
      <w:kern w:val="0"/>
      <w:sz w:val="24"/>
    </w:rPr>
  </w:style>
  <w:style w:type="paragraph" w:styleId="4">
    <w:name w:val="envelope return"/>
    <w:basedOn w:val="1"/>
    <w:qFormat/>
    <w:uiPriority w:val="99"/>
    <w:pPr>
      <w:widowControl/>
    </w:pPr>
    <w:rPr>
      <w:kern w:val="0"/>
      <w:sz w:val="22"/>
      <w:szCs w:val="20"/>
      <w:lang w:val="en-GB" w:eastAsia="en-US"/>
    </w:rPr>
  </w:style>
  <w:style w:type="paragraph" w:styleId="9">
    <w:name w:val="Normal Indent"/>
    <w:basedOn w:val="1"/>
    <w:qFormat/>
    <w:uiPriority w:val="0"/>
    <w:pPr>
      <w:ind w:firstLine="420" w:firstLineChars="200"/>
    </w:pPr>
  </w:style>
  <w:style w:type="paragraph" w:styleId="10">
    <w:name w:val="toa heading"/>
    <w:basedOn w:val="1"/>
    <w:next w:val="1"/>
    <w:qFormat/>
    <w:uiPriority w:val="0"/>
    <w:pPr>
      <w:spacing w:before="120"/>
    </w:pPr>
    <w:rPr>
      <w:rFonts w:ascii="Cambria" w:hAnsi="Cambria"/>
      <w:sz w:val="24"/>
    </w:rPr>
  </w:style>
  <w:style w:type="paragraph" w:styleId="11">
    <w:name w:val="annotation text"/>
    <w:basedOn w:val="1"/>
    <w:qFormat/>
    <w:uiPriority w:val="99"/>
    <w:pPr>
      <w:jc w:val="left"/>
    </w:pPr>
    <w:rPr>
      <w:kern w:val="0"/>
    </w:rPr>
  </w:style>
  <w:style w:type="paragraph" w:styleId="12">
    <w:name w:val="Body Text"/>
    <w:basedOn w:val="1"/>
    <w:next w:val="13"/>
    <w:qFormat/>
    <w:uiPriority w:val="99"/>
    <w:pPr>
      <w:spacing w:after="120"/>
    </w:pPr>
    <w:rPr>
      <w:kern w:val="0"/>
    </w:rPr>
  </w:style>
  <w:style w:type="paragraph" w:styleId="13">
    <w:name w:val="toc 2"/>
    <w:basedOn w:val="1"/>
    <w:next w:val="1"/>
    <w:unhideWhenUsed/>
    <w:qFormat/>
    <w:uiPriority w:val="39"/>
    <w:pPr>
      <w:tabs>
        <w:tab w:val="left" w:pos="709"/>
        <w:tab w:val="right" w:leader="dot" w:pos="9072"/>
      </w:tabs>
      <w:adjustRightInd w:val="0"/>
      <w:snapToGrid w:val="0"/>
      <w:spacing w:line="360" w:lineRule="auto"/>
      <w:ind w:left="-2" w:leftChars="-1" w:firstLine="1"/>
      <w:jc w:val="left"/>
    </w:pPr>
    <w:rPr>
      <w:rFonts w:ascii="Calibri" w:hAnsi="Calibri"/>
      <w:smallCaps/>
      <w:sz w:val="20"/>
    </w:rPr>
  </w:style>
  <w:style w:type="paragraph" w:styleId="14">
    <w:name w:val="Block Text"/>
    <w:basedOn w:val="1"/>
    <w:unhideWhenUsed/>
    <w:qFormat/>
    <w:uiPriority w:val="0"/>
    <w:pPr>
      <w:ind w:left="1260" w:right="-1243"/>
      <w:jc w:val="left"/>
    </w:pPr>
    <w:rPr>
      <w:color w:val="000000"/>
      <w:sz w:val="32"/>
      <w:szCs w:val="20"/>
    </w:rPr>
  </w:style>
  <w:style w:type="paragraph" w:styleId="15">
    <w:name w:val="toc 3"/>
    <w:basedOn w:val="1"/>
    <w:next w:val="1"/>
    <w:unhideWhenUsed/>
    <w:qFormat/>
    <w:uiPriority w:val="39"/>
    <w:pPr>
      <w:tabs>
        <w:tab w:val="left" w:pos="709"/>
        <w:tab w:val="right" w:leader="dot" w:pos="9072"/>
      </w:tabs>
      <w:adjustRightInd w:val="0"/>
      <w:snapToGrid w:val="0"/>
      <w:spacing w:line="360" w:lineRule="auto"/>
      <w:jc w:val="left"/>
    </w:pPr>
    <w:rPr>
      <w:rFonts w:ascii="Calibri" w:hAnsi="Calibri"/>
      <w:i/>
      <w:iCs/>
      <w:sz w:val="20"/>
    </w:rPr>
  </w:style>
  <w:style w:type="paragraph" w:styleId="16">
    <w:name w:val="Plain Text"/>
    <w:basedOn w:val="1"/>
    <w:qFormat/>
    <w:uiPriority w:val="0"/>
    <w:rPr>
      <w:rFonts w:ascii="宋体" w:hAnsi="Courier New"/>
      <w:kern w:val="0"/>
      <w:sz w:val="20"/>
    </w:rPr>
  </w:style>
  <w:style w:type="paragraph" w:styleId="17">
    <w:name w:val="Body Text Indent 2"/>
    <w:basedOn w:val="1"/>
    <w:link w:val="43"/>
    <w:qFormat/>
    <w:uiPriority w:val="0"/>
    <w:pPr>
      <w:spacing w:after="120" w:line="480" w:lineRule="auto"/>
      <w:ind w:left="420" w:leftChars="200"/>
    </w:pPr>
  </w:style>
  <w:style w:type="paragraph" w:styleId="18">
    <w:name w:val="Balloon Text"/>
    <w:basedOn w:val="1"/>
    <w:link w:val="44"/>
    <w:qFormat/>
    <w:uiPriority w:val="0"/>
    <w:rPr>
      <w:sz w:val="18"/>
      <w:szCs w:val="18"/>
    </w:rPr>
  </w:style>
  <w:style w:type="paragraph" w:styleId="19">
    <w:name w:val="footer"/>
    <w:basedOn w:val="1"/>
    <w:link w:val="45"/>
    <w:unhideWhenUsed/>
    <w:qFormat/>
    <w:uiPriority w:val="99"/>
    <w:pPr>
      <w:tabs>
        <w:tab w:val="center" w:pos="4153"/>
        <w:tab w:val="right" w:pos="8306"/>
      </w:tabs>
      <w:snapToGrid w:val="0"/>
      <w:jc w:val="left"/>
    </w:pPr>
    <w:rPr>
      <w:sz w:val="18"/>
      <w:szCs w:val="18"/>
    </w:rPr>
  </w:style>
  <w:style w:type="paragraph" w:styleId="20">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21">
    <w:name w:val="toc 1"/>
    <w:basedOn w:val="1"/>
    <w:next w:val="1"/>
    <w:unhideWhenUsed/>
    <w:qFormat/>
    <w:uiPriority w:val="39"/>
    <w:pPr>
      <w:tabs>
        <w:tab w:val="left" w:pos="720"/>
        <w:tab w:val="right" w:leader="dot" w:pos="9072"/>
      </w:tabs>
      <w:adjustRightInd w:val="0"/>
      <w:snapToGrid w:val="0"/>
      <w:spacing w:line="360" w:lineRule="auto"/>
      <w:jc w:val="left"/>
    </w:pPr>
    <w:rPr>
      <w:rFonts w:ascii="Calibri" w:hAnsi="Calibri"/>
      <w:b/>
      <w:bCs/>
      <w:caps/>
      <w:sz w:val="20"/>
    </w:rPr>
  </w:style>
  <w:style w:type="paragraph" w:styleId="22">
    <w:name w:val="Body Text 2"/>
    <w:basedOn w:val="1"/>
    <w:qFormat/>
    <w:uiPriority w:val="99"/>
    <w:pPr>
      <w:spacing w:after="120" w:line="480" w:lineRule="auto"/>
    </w:pPr>
    <w:rPr>
      <w:kern w:val="0"/>
    </w:rPr>
  </w:style>
  <w:style w:type="paragraph" w:styleId="23">
    <w:name w:val="Normal (Web)"/>
    <w:basedOn w:val="1"/>
    <w:qFormat/>
    <w:uiPriority w:val="0"/>
    <w:pPr>
      <w:widowControl/>
      <w:spacing w:before="75" w:after="150" w:line="384" w:lineRule="atLeast"/>
      <w:ind w:firstLine="240"/>
      <w:jc w:val="left"/>
    </w:pPr>
    <w:rPr>
      <w:rFonts w:ascii="ˎ̥" w:hAnsi="ˎ̥" w:cs="宋体"/>
      <w:kern w:val="0"/>
      <w:sz w:val="18"/>
      <w:szCs w:val="18"/>
    </w:rPr>
  </w:style>
  <w:style w:type="paragraph" w:styleId="24">
    <w:name w:val="Title"/>
    <w:basedOn w:val="6"/>
    <w:next w:val="1"/>
    <w:qFormat/>
    <w:uiPriority w:val="0"/>
    <w:rPr>
      <w:rFonts w:ascii="宋体"/>
      <w:sz w:val="44"/>
    </w:rPr>
  </w:style>
  <w:style w:type="paragraph" w:styleId="25">
    <w:name w:val="Body Text First Indent"/>
    <w:basedOn w:val="12"/>
    <w:next w:val="1"/>
    <w:qFormat/>
    <w:uiPriority w:val="99"/>
    <w:pPr>
      <w:ind w:firstLine="420"/>
    </w:pPr>
    <w:rPr>
      <w:szCs w:val="28"/>
    </w:rPr>
  </w:style>
  <w:style w:type="table" w:styleId="27">
    <w:name w:val="Table Grid"/>
    <w:basedOn w:val="2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9">
    <w:name w:val="Strong"/>
    <w:basedOn w:val="28"/>
    <w:qFormat/>
    <w:uiPriority w:val="0"/>
  </w:style>
  <w:style w:type="character" w:styleId="30">
    <w:name w:val="page number"/>
    <w:basedOn w:val="28"/>
    <w:unhideWhenUsed/>
    <w:qFormat/>
    <w:uiPriority w:val="99"/>
  </w:style>
  <w:style w:type="character" w:styleId="31">
    <w:name w:val="FollowedHyperlink"/>
    <w:basedOn w:val="28"/>
    <w:qFormat/>
    <w:uiPriority w:val="0"/>
    <w:rPr>
      <w:color w:val="555555"/>
      <w:u w:val="none"/>
    </w:rPr>
  </w:style>
  <w:style w:type="character" w:styleId="32">
    <w:name w:val="Emphasis"/>
    <w:basedOn w:val="28"/>
    <w:qFormat/>
    <w:uiPriority w:val="0"/>
  </w:style>
  <w:style w:type="character" w:styleId="33">
    <w:name w:val="HTML Definition"/>
    <w:basedOn w:val="28"/>
    <w:qFormat/>
    <w:uiPriority w:val="0"/>
  </w:style>
  <w:style w:type="character" w:styleId="34">
    <w:name w:val="HTML Typewriter"/>
    <w:basedOn w:val="28"/>
    <w:qFormat/>
    <w:uiPriority w:val="0"/>
    <w:rPr>
      <w:rFonts w:hint="default" w:ascii="monospace" w:hAnsi="monospace" w:eastAsia="monospace" w:cs="monospace"/>
      <w:sz w:val="20"/>
    </w:rPr>
  </w:style>
  <w:style w:type="character" w:styleId="35">
    <w:name w:val="HTML Acronym"/>
    <w:basedOn w:val="28"/>
    <w:qFormat/>
    <w:uiPriority w:val="0"/>
  </w:style>
  <w:style w:type="character" w:styleId="36">
    <w:name w:val="HTML Variable"/>
    <w:basedOn w:val="28"/>
    <w:qFormat/>
    <w:uiPriority w:val="0"/>
  </w:style>
  <w:style w:type="character" w:styleId="37">
    <w:name w:val="Hyperlink"/>
    <w:basedOn w:val="28"/>
    <w:qFormat/>
    <w:uiPriority w:val="99"/>
    <w:rPr>
      <w:color w:val="555555"/>
      <w:u w:val="none"/>
    </w:rPr>
  </w:style>
  <w:style w:type="character" w:styleId="38">
    <w:name w:val="HTML Code"/>
    <w:basedOn w:val="28"/>
    <w:qFormat/>
    <w:uiPriority w:val="0"/>
    <w:rPr>
      <w:rFonts w:hint="default" w:ascii="Consolas" w:hAnsi="Consolas" w:eastAsia="Consolas" w:cs="Consolas"/>
      <w:color w:val="E83E8C"/>
      <w:sz w:val="21"/>
      <w:szCs w:val="21"/>
    </w:rPr>
  </w:style>
  <w:style w:type="character" w:styleId="39">
    <w:name w:val="HTML Cite"/>
    <w:basedOn w:val="28"/>
    <w:qFormat/>
    <w:uiPriority w:val="0"/>
  </w:style>
  <w:style w:type="character" w:styleId="40">
    <w:name w:val="HTML Keyboard"/>
    <w:basedOn w:val="28"/>
    <w:qFormat/>
    <w:uiPriority w:val="0"/>
    <w:rPr>
      <w:rFonts w:hint="default" w:ascii="Consolas" w:hAnsi="Consolas" w:eastAsia="Consolas" w:cs="Consolas"/>
      <w:color w:val="FFFFFF"/>
      <w:sz w:val="21"/>
      <w:szCs w:val="21"/>
      <w:shd w:val="clear" w:color="auto" w:fill="212529"/>
    </w:rPr>
  </w:style>
  <w:style w:type="character" w:styleId="41">
    <w:name w:val="HTML Sample"/>
    <w:basedOn w:val="28"/>
    <w:qFormat/>
    <w:uiPriority w:val="0"/>
    <w:rPr>
      <w:rFonts w:ascii="Consolas" w:hAnsi="Consolas" w:eastAsia="Consolas" w:cs="Consolas"/>
      <w:sz w:val="21"/>
      <w:szCs w:val="21"/>
    </w:rPr>
  </w:style>
  <w:style w:type="character" w:customStyle="1" w:styleId="42">
    <w:name w:val="标题 1 Char"/>
    <w:basedOn w:val="28"/>
    <w:link w:val="5"/>
    <w:qFormat/>
    <w:uiPriority w:val="0"/>
    <w:rPr>
      <w:b/>
      <w:kern w:val="44"/>
      <w:sz w:val="44"/>
    </w:rPr>
  </w:style>
  <w:style w:type="character" w:customStyle="1" w:styleId="43">
    <w:name w:val="正文文本缩进 2 Char"/>
    <w:basedOn w:val="28"/>
    <w:link w:val="17"/>
    <w:qFormat/>
    <w:uiPriority w:val="0"/>
    <w:rPr>
      <w:kern w:val="2"/>
      <w:sz w:val="21"/>
      <w:szCs w:val="24"/>
    </w:rPr>
  </w:style>
  <w:style w:type="character" w:customStyle="1" w:styleId="44">
    <w:name w:val="批注框文本 Char"/>
    <w:basedOn w:val="28"/>
    <w:link w:val="18"/>
    <w:qFormat/>
    <w:uiPriority w:val="0"/>
    <w:rPr>
      <w:kern w:val="2"/>
      <w:sz w:val="18"/>
      <w:szCs w:val="18"/>
    </w:rPr>
  </w:style>
  <w:style w:type="character" w:customStyle="1" w:styleId="45">
    <w:name w:val="页脚 Char"/>
    <w:basedOn w:val="28"/>
    <w:link w:val="19"/>
    <w:qFormat/>
    <w:uiPriority w:val="99"/>
    <w:rPr>
      <w:kern w:val="2"/>
      <w:sz w:val="18"/>
      <w:szCs w:val="18"/>
    </w:rPr>
  </w:style>
  <w:style w:type="paragraph" w:customStyle="1" w:styleId="46">
    <w:name w:val="正文1"/>
    <w:basedOn w:val="1"/>
    <w:qFormat/>
    <w:uiPriority w:val="0"/>
    <w:pPr>
      <w:adjustRightInd w:val="0"/>
      <w:spacing w:line="480" w:lineRule="atLeast"/>
      <w:textAlignment w:val="baseline"/>
    </w:pPr>
    <w:rPr>
      <w:rFonts w:ascii="宋体"/>
      <w:kern w:val="0"/>
      <w:sz w:val="28"/>
      <w:szCs w:val="20"/>
    </w:rPr>
  </w:style>
  <w:style w:type="paragraph" w:customStyle="1" w:styleId="47">
    <w:name w:val="无间隔1"/>
    <w:qFormat/>
    <w:uiPriority w:val="99"/>
    <w:pPr>
      <w:widowControl w:val="0"/>
      <w:jc w:val="both"/>
    </w:pPr>
    <w:rPr>
      <w:rFonts w:ascii="Times New Roman" w:hAnsi="Times New Roman" w:eastAsia="宋体" w:cs="宋体"/>
      <w:kern w:val="2"/>
      <w:sz w:val="21"/>
      <w:szCs w:val="24"/>
      <w:lang w:val="en-US" w:eastAsia="zh-CN" w:bidi="ar-SA"/>
    </w:rPr>
  </w:style>
  <w:style w:type="paragraph" w:customStyle="1" w:styleId="48">
    <w:name w:val="Default"/>
    <w:qFormat/>
    <w:uiPriority w:val="0"/>
    <w:pPr>
      <w:widowControl w:val="0"/>
      <w:autoSpaceDE w:val="0"/>
      <w:autoSpaceDN w:val="0"/>
      <w:adjustRightInd w:val="0"/>
    </w:pPr>
    <w:rPr>
      <w:rFonts w:ascii="Calibri" w:hAnsi="Calibri" w:eastAsia="宋体" w:cs="Times New Roman"/>
      <w:color w:val="000000"/>
      <w:sz w:val="24"/>
      <w:szCs w:val="24"/>
      <w:lang w:val="en-US" w:eastAsia="zh-CN" w:bidi="ar-SA"/>
    </w:rPr>
  </w:style>
  <w:style w:type="character" w:customStyle="1" w:styleId="49">
    <w:name w:val="font11"/>
    <w:basedOn w:val="28"/>
    <w:qFormat/>
    <w:uiPriority w:val="0"/>
    <w:rPr>
      <w:rFonts w:hint="eastAsia" w:ascii="宋体" w:hAnsi="宋体" w:eastAsia="宋体" w:cs="宋体"/>
      <w:color w:val="000000"/>
      <w:sz w:val="18"/>
      <w:szCs w:val="18"/>
      <w:u w:val="none"/>
    </w:rPr>
  </w:style>
  <w:style w:type="character" w:customStyle="1" w:styleId="50">
    <w:name w:val="font31"/>
    <w:basedOn w:val="28"/>
    <w:qFormat/>
    <w:uiPriority w:val="0"/>
    <w:rPr>
      <w:rFonts w:hint="eastAsia" w:ascii="宋体" w:hAnsi="宋体" w:eastAsia="宋体" w:cs="宋体"/>
      <w:color w:val="000000"/>
      <w:sz w:val="24"/>
      <w:szCs w:val="24"/>
      <w:u w:val="none"/>
    </w:rPr>
  </w:style>
  <w:style w:type="character" w:customStyle="1" w:styleId="51">
    <w:name w:val="font51"/>
    <w:basedOn w:val="28"/>
    <w:qFormat/>
    <w:uiPriority w:val="0"/>
    <w:rPr>
      <w:rFonts w:hint="eastAsia" w:ascii="宋体" w:hAnsi="宋体" w:eastAsia="宋体" w:cs="宋体"/>
      <w:color w:val="000000"/>
      <w:sz w:val="18"/>
      <w:szCs w:val="18"/>
      <w:u w:val="none"/>
    </w:rPr>
  </w:style>
  <w:style w:type="character" w:customStyle="1" w:styleId="52">
    <w:name w:val="font81"/>
    <w:basedOn w:val="28"/>
    <w:qFormat/>
    <w:uiPriority w:val="0"/>
    <w:rPr>
      <w:rFonts w:hint="eastAsia" w:ascii="宋体" w:hAnsi="宋体" w:eastAsia="宋体" w:cs="宋体"/>
      <w:b/>
      <w:color w:val="000000"/>
      <w:sz w:val="24"/>
      <w:szCs w:val="24"/>
      <w:u w:val="none"/>
    </w:rPr>
  </w:style>
  <w:style w:type="character" w:customStyle="1" w:styleId="53">
    <w:name w:val="font61"/>
    <w:basedOn w:val="28"/>
    <w:qFormat/>
    <w:uiPriority w:val="0"/>
    <w:rPr>
      <w:rFonts w:hint="eastAsia" w:ascii="宋体" w:hAnsi="宋体" w:eastAsia="宋体" w:cs="宋体"/>
      <w:b/>
      <w:color w:val="FF0000"/>
      <w:sz w:val="24"/>
      <w:szCs w:val="24"/>
      <w:u w:val="none"/>
    </w:rPr>
  </w:style>
  <w:style w:type="paragraph" w:styleId="54">
    <w:name w:val="List Paragraph"/>
    <w:basedOn w:val="1"/>
    <w:qFormat/>
    <w:uiPriority w:val="34"/>
    <w:pPr>
      <w:ind w:firstLine="420" w:firstLineChars="200"/>
    </w:pPr>
  </w:style>
  <w:style w:type="paragraph" w:customStyle="1" w:styleId="55">
    <w:name w:val="Body Text Indent1"/>
    <w:basedOn w:val="1"/>
    <w:qFormat/>
    <w:uiPriority w:val="99"/>
    <w:pPr>
      <w:spacing w:line="216" w:lineRule="auto"/>
      <w:ind w:firstLine="615"/>
    </w:pPr>
    <w:rPr>
      <w:sz w:val="24"/>
    </w:rPr>
  </w:style>
  <w:style w:type="character" w:customStyle="1" w:styleId="56">
    <w:name w:val="font91"/>
    <w:basedOn w:val="28"/>
    <w:qFormat/>
    <w:uiPriority w:val="0"/>
    <w:rPr>
      <w:rFonts w:hint="eastAsia" w:ascii="宋体" w:hAnsi="宋体" w:eastAsia="宋体" w:cs="宋体"/>
      <w:color w:val="000000"/>
      <w:sz w:val="22"/>
      <w:szCs w:val="22"/>
      <w:u w:val="none"/>
    </w:rPr>
  </w:style>
  <w:style w:type="character" w:customStyle="1" w:styleId="57">
    <w:name w:val="font01"/>
    <w:basedOn w:val="28"/>
    <w:qFormat/>
    <w:uiPriority w:val="0"/>
    <w:rPr>
      <w:rFonts w:hint="default" w:ascii="楷体_GB2312" w:eastAsia="楷体_GB2312" w:cs="楷体_GB2312"/>
      <w:color w:val="000000"/>
      <w:sz w:val="22"/>
      <w:szCs w:val="22"/>
      <w:u w:val="none"/>
    </w:rPr>
  </w:style>
  <w:style w:type="character" w:customStyle="1" w:styleId="58">
    <w:name w:val="op-map-singlepoint-info-right1"/>
    <w:basedOn w:val="28"/>
    <w:qFormat/>
    <w:uiPriority w:val="0"/>
  </w:style>
  <w:style w:type="paragraph" w:customStyle="1" w:styleId="59">
    <w:name w:val="彩色列表1"/>
    <w:basedOn w:val="1"/>
    <w:qFormat/>
    <w:uiPriority w:val="34"/>
    <w:pPr>
      <w:ind w:firstLine="420" w:firstLineChars="200"/>
    </w:pPr>
    <w:rPr>
      <w:rFonts w:ascii="Calibri" w:hAnsi="Calibri"/>
      <w:szCs w:val="22"/>
    </w:rPr>
  </w:style>
  <w:style w:type="table" w:customStyle="1" w:styleId="60">
    <w:name w:val="Table Normal"/>
    <w:unhideWhenUsed/>
    <w:qFormat/>
    <w:uiPriority w:val="0"/>
    <w:tblPr>
      <w:tblCellMar>
        <w:top w:w="0" w:type="dxa"/>
        <w:left w:w="0" w:type="dxa"/>
        <w:bottom w:w="0" w:type="dxa"/>
        <w:right w:w="0" w:type="dxa"/>
      </w:tblCellMar>
    </w:tblPr>
  </w:style>
  <w:style w:type="character" w:customStyle="1" w:styleId="61">
    <w:name w:val="layui-layer-tabnow"/>
    <w:basedOn w:val="28"/>
    <w:qFormat/>
    <w:uiPriority w:val="0"/>
    <w:rPr>
      <w:bdr w:val="single" w:color="CCCCCC" w:sz="6" w:space="0"/>
      <w:shd w:val="clear" w:color="auto" w:fill="FFFFFF"/>
    </w:rPr>
  </w:style>
  <w:style w:type="character" w:customStyle="1" w:styleId="62">
    <w:name w:val="first-child"/>
    <w:basedOn w:val="28"/>
    <w:qFormat/>
    <w:uiPriority w:val="0"/>
  </w:style>
  <w:style w:type="paragraph" w:customStyle="1" w:styleId="63">
    <w:name w:val="WPSOffice手动目录 1"/>
    <w:qFormat/>
    <w:uiPriority w:val="0"/>
    <w:rPr>
      <w:rFonts w:ascii="Times New Roman" w:hAnsi="Times New Roman" w:eastAsia="宋体" w:cs="Times New Roman"/>
      <w:lang w:val="en-US" w:eastAsia="zh-CN" w:bidi="ar-SA"/>
    </w:rPr>
  </w:style>
  <w:style w:type="paragraph" w:customStyle="1" w:styleId="64">
    <w:name w:val="项目名称"/>
    <w:basedOn w:val="1"/>
    <w:qFormat/>
    <w:uiPriority w:val="0"/>
    <w:pPr>
      <w:spacing w:line="360" w:lineRule="auto"/>
    </w:pPr>
    <w:rPr>
      <w:rFonts w:ascii="黑体" w:eastAsia="黑体"/>
      <w:sz w:val="30"/>
      <w:szCs w:val="20"/>
    </w:rPr>
  </w:style>
  <w:style w:type="character" w:customStyle="1" w:styleId="65">
    <w:name w:val="fontstyle11"/>
    <w:basedOn w:val="28"/>
    <w:qFormat/>
    <w:uiPriority w:val="0"/>
    <w:rPr>
      <w:rFonts w:ascii="仿宋_GB2312" w:hAnsi="仿宋_GB2312" w:eastAsia="仿宋_GB2312" w:cs="仿宋_GB2312"/>
      <w:color w:val="000000"/>
      <w:sz w:val="24"/>
      <w:szCs w:val="24"/>
    </w:rPr>
  </w:style>
  <w:style w:type="character" w:customStyle="1" w:styleId="66">
    <w:name w:val="fontstyle01"/>
    <w:basedOn w:val="28"/>
    <w:qFormat/>
    <w:uiPriority w:val="0"/>
    <w:rPr>
      <w:rFonts w:hint="eastAsia" w:ascii="宋体" w:hAnsi="宋体" w:eastAsia="宋体" w:cs="宋体"/>
      <w:color w:val="000000"/>
      <w:sz w:val="44"/>
      <w:szCs w:val="44"/>
    </w:rPr>
  </w:style>
  <w:style w:type="character" w:customStyle="1" w:styleId="67">
    <w:name w:val="fontstyle21"/>
    <w:basedOn w:val="28"/>
    <w:qFormat/>
    <w:uiPriority w:val="0"/>
    <w:rPr>
      <w:rFonts w:ascii="楷体" w:hAnsi="楷体" w:eastAsia="楷体" w:cs="楷体"/>
      <w:color w:val="000000"/>
      <w:sz w:val="32"/>
      <w:szCs w:val="32"/>
    </w:rPr>
  </w:style>
  <w:style w:type="paragraph" w:customStyle="1" w:styleId="68">
    <w:name w:val="Table Paragraph"/>
    <w:basedOn w:val="1"/>
    <w:qFormat/>
    <w:uiPriority w:val="1"/>
    <w:rPr>
      <w:rFonts w:ascii="宋体" w:hAnsi="宋体" w:cs="宋体"/>
      <w:lang w:val="zh-CN" w:bidi="zh-CN"/>
    </w:rPr>
  </w:style>
  <w:style w:type="paragraph" w:customStyle="1" w:styleId="69">
    <w:name w:val="样式 样式 左侧:  2 字符 + 左侧:  0.85 厘米 首行缩进:  2 字符1"/>
    <w:basedOn w:val="1"/>
    <w:qFormat/>
    <w:uiPriority w:val="0"/>
    <w:pPr>
      <w:ind w:left="482" w:firstLine="200" w:firstLineChars="200"/>
    </w:pPr>
    <w:rPr>
      <w:rFonts w:cs="宋体"/>
      <w:szCs w:val="20"/>
    </w:rPr>
  </w:style>
  <w:style w:type="paragraph" w:customStyle="1" w:styleId="70">
    <w:name w:val="Normal_0"/>
    <w:qFormat/>
    <w:uiPriority w:val="0"/>
    <w:rPr>
      <w:rFonts w:ascii="Times New Roman" w:hAnsi="Times New Roman" w:eastAsia="宋体" w:cs="Times New Roman"/>
      <w:sz w:val="24"/>
      <w:szCs w:val="24"/>
      <w:lang w:val="en-US" w:eastAsia="zh-CN" w:bidi="ar-SA"/>
    </w:rPr>
  </w:style>
  <w:style w:type="paragraph" w:customStyle="1" w:styleId="71">
    <w:name w:val="样式 标题标题2 + 黑体1"/>
    <w:basedOn w:val="24"/>
    <w:qFormat/>
    <w:uiPriority w:val="0"/>
    <w:rPr>
      <w:rFonts w:ascii="黑体" w:hAnsi="黑体"/>
    </w:rPr>
  </w:style>
  <w:style w:type="paragraph" w:customStyle="1" w:styleId="72">
    <w:name w:val="List Paragraph1"/>
    <w:basedOn w:val="1"/>
    <w:qFormat/>
    <w:uiPriority w:val="34"/>
    <w:pPr>
      <w:widowControl/>
      <w:kinsoku w:val="0"/>
      <w:autoSpaceDE w:val="0"/>
      <w:autoSpaceDN w:val="0"/>
      <w:adjustRightInd w:val="0"/>
      <w:snapToGrid w:val="0"/>
      <w:ind w:firstLine="420" w:firstLineChars="200"/>
      <w:jc w:val="left"/>
      <w:textAlignment w:val="baseline"/>
    </w:pPr>
    <w:rPr>
      <w:rFonts w:ascii="Calibri" w:hAnsi="Calibri" w:eastAsia="Arial" w:cs="Arial"/>
      <w:snapToGrid w:val="0"/>
      <w:color w:val="000000"/>
      <w:kern w:val="0"/>
      <w:szCs w:val="22"/>
    </w:rPr>
  </w:style>
  <w:style w:type="paragraph" w:customStyle="1" w:styleId="73">
    <w:name w:val="Other|1"/>
    <w:basedOn w:val="1"/>
    <w:qFormat/>
    <w:uiPriority w:val="0"/>
    <w:pPr>
      <w:jc w:val="center"/>
    </w:pPr>
    <w:rPr>
      <w:rFonts w:ascii="宋体" w:hAnsi="宋体" w:cs="宋体"/>
      <w:sz w:val="20"/>
      <w:szCs w:val="20"/>
      <w:lang w:val="zh-TW" w:eastAsia="zh-TW" w:bidi="zh-TW"/>
    </w:rPr>
  </w:style>
  <w:style w:type="paragraph" w:customStyle="1" w:styleId="74">
    <w:name w:val="Body text|3"/>
    <w:basedOn w:val="1"/>
    <w:qFormat/>
    <w:uiPriority w:val="0"/>
    <w:pPr>
      <w:spacing w:after="40"/>
      <w:ind w:left="1340"/>
    </w:pPr>
    <w:rPr>
      <w:rFonts w:ascii="宋体" w:hAnsi="宋体" w:cs="宋体"/>
      <w:sz w:val="26"/>
      <w:szCs w:val="26"/>
      <w:lang w:val="zh-TW" w:eastAsia="zh-TW" w:bidi="zh-TW"/>
    </w:rPr>
  </w:style>
  <w:style w:type="paragraph" w:customStyle="1" w:styleId="75">
    <w:name w:val="Body text|1"/>
    <w:basedOn w:val="1"/>
    <w:qFormat/>
    <w:uiPriority w:val="0"/>
    <w:pPr>
      <w:spacing w:line="463" w:lineRule="auto"/>
    </w:pPr>
    <w:rPr>
      <w:rFonts w:ascii="宋体" w:hAnsi="宋体" w:cs="宋体"/>
      <w:sz w:val="26"/>
      <w:szCs w:val="26"/>
      <w:lang w:val="zh-TW" w:eastAsia="zh-TW" w:bidi="zh-TW"/>
    </w:rPr>
  </w:style>
  <w:style w:type="character" w:customStyle="1" w:styleId="76">
    <w:name w:val="font41"/>
    <w:basedOn w:val="28"/>
    <w:qFormat/>
    <w:uiPriority w:val="0"/>
    <w:rPr>
      <w:rFonts w:ascii="宋体" w:hAnsi="宋体" w:eastAsia="宋体" w:cs="宋体"/>
      <w:color w:val="000000"/>
      <w:sz w:val="18"/>
      <w:szCs w:val="18"/>
      <w:u w:val="none"/>
    </w:rPr>
  </w:style>
  <w:style w:type="character" w:customStyle="1" w:styleId="77">
    <w:name w:val="font21"/>
    <w:basedOn w:val="28"/>
    <w:qFormat/>
    <w:uiPriority w:val="0"/>
    <w:rPr>
      <w:rFonts w:ascii="宋体" w:hAnsi="宋体" w:eastAsia="宋体" w:cs="宋体"/>
      <w:color w:val="000000"/>
      <w:sz w:val="8"/>
      <w:szCs w:val="8"/>
      <w:u w:val="none"/>
    </w:rPr>
  </w:style>
  <w:style w:type="character" w:customStyle="1" w:styleId="78">
    <w:name w:val="font71"/>
    <w:basedOn w:val="28"/>
    <w:qFormat/>
    <w:uiPriority w:val="0"/>
    <w:rPr>
      <w:rFonts w:hint="default" w:ascii="Arial" w:hAnsi="Arial" w:cs="Arial"/>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3" Type="http://schemas.openxmlformats.org/officeDocument/2006/relationships/fontTable" Target="fontTable.xml"/><Relationship Id="rId82" Type="http://schemas.openxmlformats.org/officeDocument/2006/relationships/numbering" Target="numbering.xml"/><Relationship Id="rId81" Type="http://schemas.openxmlformats.org/officeDocument/2006/relationships/customXml" Target="../customXml/item1.xml"/><Relationship Id="rId80" Type="http://schemas.openxmlformats.org/officeDocument/2006/relationships/image" Target="media/image73.jpeg"/><Relationship Id="rId8" Type="http://schemas.openxmlformats.org/officeDocument/2006/relationships/image" Target="media/image1.jpeg"/><Relationship Id="rId79" Type="http://schemas.openxmlformats.org/officeDocument/2006/relationships/image" Target="media/image72.jpeg"/><Relationship Id="rId78" Type="http://schemas.openxmlformats.org/officeDocument/2006/relationships/image" Target="media/image71.jpe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jpe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jpeg"/><Relationship Id="rId66" Type="http://schemas.openxmlformats.org/officeDocument/2006/relationships/image" Target="media/image59.jpeg"/><Relationship Id="rId65" Type="http://schemas.openxmlformats.org/officeDocument/2006/relationships/image" Target="media/image58.jpeg"/><Relationship Id="rId64" Type="http://schemas.openxmlformats.org/officeDocument/2006/relationships/image" Target="media/image57.jpeg"/><Relationship Id="rId63" Type="http://schemas.openxmlformats.org/officeDocument/2006/relationships/image" Target="media/image56.jpe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jpeg"/><Relationship Id="rId6" Type="http://schemas.openxmlformats.org/officeDocument/2006/relationships/footer" Target="footer2.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header" Target="header2.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1.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header" Target="head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dministrator\Application%20Data\Kingsoft\wps\addons\pool\win-i386\knewfileres_1.0.0.3\wps\0.docx"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Company>admin</Company>
  <Pages>100</Pages>
  <Words>8640</Words>
  <Characters>9583</Characters>
  <Lines>75</Lines>
  <Paragraphs>21</Paragraphs>
  <TotalTime>2</TotalTime>
  <ScaleCrop>false</ScaleCrop>
  <LinksUpToDate>false</LinksUpToDate>
  <CharactersWithSpaces>10155</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2022-10-28T08:49:00Z</dcterms:created>
  <dc:creator>鄱阳湖打鱼少年</dc:creator>
  <cp:lastModifiedBy>Double life</cp:lastModifiedBy>
  <cp:lastPrinted>2022-11-15T01:14:00Z</cp:lastPrinted>
  <dcterms:modified xsi:type="dcterms:W3CDTF">2022-11-18T07:50:03Z</dcterms:modified>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11CA831CCB794F9C9732FAF645EA5FE1</vt:lpwstr>
  </property>
</Properties>
</file>