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jc w:val="center"/>
        <w:rPr>
          <w:rFonts w:hint="eastAsia" w:ascii="宋体" w:hAnsi="宋体" w:eastAsia="宋体" w:cs="宋体"/>
          <w:b/>
          <w:color w:val="auto"/>
          <w:sz w:val="52"/>
          <w:szCs w:val="52"/>
          <w:highlight w:val="non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pPr>
        <w:pageBreakBefore w:val="0"/>
        <w:kinsoku/>
        <w:overflowPunct/>
        <w:topLinePunct w:val="0"/>
        <w:bidi w:val="0"/>
        <w:jc w:val="center"/>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pPr>
        <w:pageBreakBefore w:val="0"/>
        <w:kinsoku/>
        <w:overflowPunct/>
        <w:topLinePunct w:val="0"/>
        <w:bidi w:val="0"/>
        <w:spacing w:line="720" w:lineRule="auto"/>
        <w:ind w:firstLine="600" w:firstLineChars="20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eastAsia="宋体" w:cs="宋体"/>
          <w:color w:val="auto"/>
          <w:sz w:val="30"/>
          <w:szCs w:val="30"/>
          <w:highlight w:val="none"/>
          <w:lang w:eastAsia="zh-CN"/>
        </w:rPr>
        <w:t>会展路、世贸路周边非机动车棚项目-劳务</w:t>
      </w:r>
      <w:r>
        <w:rPr>
          <w:rFonts w:hint="eastAsia" w:ascii="宋体" w:hAnsi="宋体" w:cs="宋体"/>
          <w:color w:val="auto"/>
          <w:sz w:val="30"/>
          <w:szCs w:val="30"/>
          <w:highlight w:val="none"/>
          <w:lang w:val="en-US" w:eastAsia="zh-CN"/>
        </w:rPr>
        <w:t>工程</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eastAsia="宋体" w:cs="宋体"/>
          <w:color w:val="auto"/>
          <w:sz w:val="30"/>
          <w:szCs w:val="30"/>
          <w:highlight w:val="none"/>
          <w:lang w:eastAsia="zh-CN"/>
        </w:rPr>
        <w:t>JXFZ20230616</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pPr>
        <w:pStyle w:val="4"/>
        <w:pageBreakBefore w:val="0"/>
        <w:kinsoku/>
        <w:overflowPunct/>
        <w:topLinePunct w:val="0"/>
        <w:bidi w:val="0"/>
        <w:outlineLvl w:val="9"/>
        <w:rPr>
          <w:rFonts w:hint="eastAsia" w:ascii="宋体" w:hAnsi="宋体" w:eastAsia="宋体" w:cs="宋体"/>
          <w:color w:val="auto"/>
          <w:highlight w:val="none"/>
        </w:rPr>
      </w:pPr>
    </w:p>
    <w:p>
      <w:pPr>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rPr>
          <w:rFonts w:hint="eastAsia" w:ascii="宋体" w:hAnsi="宋体" w:eastAsia="宋体" w:cs="宋体"/>
          <w:color w:val="auto"/>
          <w:sz w:val="32"/>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eastAsia="宋体" w:cs="宋体"/>
          <w:b/>
          <w:color w:val="auto"/>
          <w:sz w:val="36"/>
          <w:highlight w:val="none"/>
          <w:lang w:eastAsia="zh-CN"/>
        </w:rPr>
        <w:t>三</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六</w:t>
      </w:r>
      <w:r>
        <w:rPr>
          <w:rFonts w:hint="eastAsia" w:ascii="宋体" w:hAnsi="宋体" w:eastAsia="宋体" w:cs="宋体"/>
          <w:b/>
          <w:color w:val="auto"/>
          <w:sz w:val="36"/>
          <w:highlight w:val="none"/>
        </w:rPr>
        <w:t>月</w:t>
      </w:r>
    </w:p>
    <w:p>
      <w:pPr>
        <w:pStyle w:val="2"/>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pPr>
        <w:pStyle w:val="46"/>
        <w:pageBreakBefore w:val="0"/>
        <w:kinsoku/>
        <w:overflowPunct/>
        <w:topLinePunct w:val="0"/>
        <w:bidi w:val="0"/>
        <w:rPr>
          <w:rFonts w:hint="eastAsia" w:ascii="宋体" w:hAnsi="宋体" w:eastAsia="宋体" w:cs="宋体"/>
          <w:color w:val="auto"/>
          <w:highlight w:val="none"/>
        </w:rPr>
      </w:pPr>
    </w:p>
    <w:p>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0"/>
        <w:tabs>
          <w:tab w:val="right" w:leader="dot" w:pos="8820"/>
          <w:tab w:val="clear" w:pos="720"/>
          <w:tab w:val="clear" w:pos="9072"/>
        </w:tabs>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sectPr>
          <w:headerReference r:id="rId3" w:type="default"/>
          <w:pgSz w:w="11906" w:h="16839"/>
          <w:pgMar w:top="1040" w:right="1337" w:bottom="720" w:left="1749" w:header="0" w:footer="601" w:gutter="0"/>
          <w:pgNumType w:start="1"/>
          <w:cols w:space="720" w:num="1"/>
        </w:sectPr>
      </w:pPr>
    </w:p>
    <w:p>
      <w:pPr>
        <w:pStyle w:val="22"/>
        <w:pageBreakBefore w:val="0"/>
        <w:numPr>
          <w:ilvl w:val="0"/>
          <w:numId w:val="2"/>
        </w:numPr>
        <w:kinsoku/>
        <w:overflowPunct/>
        <w:topLinePunct w:val="0"/>
        <w:bidi w:val="0"/>
        <w:spacing w:line="300" w:lineRule="exact"/>
        <w:jc w:val="center"/>
        <w:outlineLvl w:val="0"/>
        <w:rPr>
          <w:rStyle w:val="29"/>
          <w:rFonts w:hint="eastAsia" w:ascii="宋体" w:hAnsi="宋体" w:eastAsia="宋体" w:cs="宋体"/>
          <w:b/>
          <w:color w:val="auto"/>
          <w:sz w:val="31"/>
          <w:szCs w:val="31"/>
          <w:highlight w:val="none"/>
        </w:rPr>
      </w:pPr>
      <w:bookmarkStart w:id="0" w:name="_Toc639"/>
      <w:r>
        <w:rPr>
          <w:rStyle w:val="29"/>
          <w:rFonts w:hint="eastAsia" w:ascii="宋体" w:hAnsi="宋体" w:eastAsia="宋体" w:cs="宋体"/>
          <w:b/>
          <w:color w:val="auto"/>
          <w:sz w:val="31"/>
          <w:szCs w:val="31"/>
          <w:highlight w:val="none"/>
        </w:rPr>
        <w:t>比选公告</w:t>
      </w:r>
      <w:bookmarkEnd w:id="0"/>
    </w:p>
    <w:p>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会展路、世贸路周边非机动车棚项目-劳务</w:t>
      </w:r>
      <w:r>
        <w:rPr>
          <w:rFonts w:hint="eastAsia" w:ascii="宋体" w:hAnsi="宋体" w:cs="宋体"/>
          <w:color w:val="auto"/>
          <w:kern w:val="2"/>
          <w:sz w:val="24"/>
          <w:szCs w:val="24"/>
          <w:highlight w:val="none"/>
          <w:lang w:val="en-US" w:eastAsia="zh-CN"/>
        </w:rPr>
        <w:t>工程</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JXFZ20230616</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442"/>
        <w:gridCol w:w="1097"/>
        <w:gridCol w:w="155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招标要约价</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JXFZ20230616</w:t>
            </w:r>
          </w:p>
        </w:tc>
        <w:tc>
          <w:tcPr>
            <w:tcW w:w="2442" w:type="dxa"/>
            <w:noWrap w:val="0"/>
            <w:vAlign w:val="center"/>
          </w:tcPr>
          <w:p>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会展路、世贸路周边非机动车棚项目-劳务</w:t>
            </w:r>
            <w:r>
              <w:rPr>
                <w:rFonts w:hint="eastAsia" w:ascii="宋体" w:hAnsi="宋体" w:cs="宋体"/>
                <w:color w:val="auto"/>
                <w:sz w:val="24"/>
                <w:highlight w:val="none"/>
                <w:lang w:val="en-US" w:eastAsia="zh-CN"/>
              </w:rPr>
              <w:t>工程</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561730.9</w:t>
            </w:r>
            <w:r>
              <w:rPr>
                <w:rFonts w:hint="eastAsia" w:ascii="宋体" w:hAnsi="宋体" w:eastAsia="宋体" w:cs="宋体"/>
                <w:color w:val="auto"/>
                <w:kern w:val="0"/>
                <w:sz w:val="24"/>
                <w:highlight w:val="none"/>
                <w:lang w:val="en-US" w:eastAsia="zh-CN"/>
              </w:rPr>
              <w:t>元</w:t>
            </w:r>
          </w:p>
        </w:tc>
      </w:tr>
    </w:tbl>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pPr>
        <w:pageBreakBefore w:val="0"/>
        <w:tabs>
          <w:tab w:val="left" w:pos="735"/>
          <w:tab w:val="left" w:pos="1418"/>
        </w:tabs>
        <w:kinsoku/>
        <w:overflowPunct/>
        <w:topLinePunct w:val="0"/>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施工劳务资质或市政公用工程施工总承包三级及以上资质</w:t>
      </w:r>
      <w:r>
        <w:rPr>
          <w:rFonts w:hint="eastAsia" w:ascii="宋体" w:hAnsi="宋体" w:cs="宋体"/>
          <w:color w:val="auto"/>
          <w:sz w:val="24"/>
          <w:szCs w:val="24"/>
          <w:highlight w:val="none"/>
          <w:lang w:val="en-US"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法定代表人证明资料）原件及被授权人（或法定代表人）身份证复印件；提供委托代理人在该单位标前六个月内任意两个月的社保凭证</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p>
    <w:p>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sz w:val="24"/>
          <w:highlight w:val="none"/>
          <w:lang w:eastAsia="zh-CN"/>
        </w:rPr>
        <w:t>南昌市红谷滩区丰和中大道1318号南昌建设大厦8楼</w:t>
      </w:r>
      <w:r>
        <w:rPr>
          <w:rFonts w:hint="eastAsia" w:ascii="宋体" w:hAnsi="宋体" w:eastAsia="宋体" w:cs="宋体"/>
          <w:color w:val="auto"/>
          <w:kern w:val="0"/>
          <w:sz w:val="24"/>
          <w:highlight w:val="none"/>
        </w:rPr>
        <w:t>。</w:t>
      </w:r>
    </w:p>
    <w:p>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bookmarkStart w:id="58" w:name="_GoBack"/>
      <w:bookmarkEnd w:id="58"/>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eastAsia="宋体" w:cs="宋体"/>
          <w:color w:val="auto"/>
          <w:sz w:val="24"/>
          <w:highlight w:val="none"/>
          <w:lang w:eastAsia="zh-CN"/>
        </w:rPr>
        <w:t>南昌市红谷滩区丰和中大道1318号南昌建设大厦8楼</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jxfzzb2022@sina.com</w:t>
      </w:r>
    </w:p>
    <w:p>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会展路、世贸路周边非机动车棚项目-劳务</w:t>
            </w:r>
            <w:r>
              <w:rPr>
                <w:rFonts w:hint="eastAsia" w:ascii="宋体" w:hAnsi="宋体" w:cs="宋体"/>
                <w:color w:val="auto"/>
                <w:sz w:val="24"/>
                <w:highlight w:val="none"/>
                <w:lang w:val="en-US" w:eastAsia="zh-CN"/>
              </w:rPr>
              <w:t>工程</w:t>
            </w:r>
            <w:r>
              <w:rPr>
                <w:rFonts w:hint="eastAsia" w:ascii="宋体" w:hAnsi="宋体" w:eastAsia="宋体" w:cs="宋体"/>
                <w:color w:val="auto"/>
                <w:kern w:val="0"/>
                <w:sz w:val="24"/>
                <w:highlight w:val="none"/>
              </w:rPr>
              <w:t xml:space="preserve">                     </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JXFZ20230616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pPr>
              <w:pageBreakBefore w:val="0"/>
              <w:widowControl/>
              <w:kinsoku/>
              <w:wordWrap w:val="0"/>
              <w:overflowPunct/>
              <w:topLinePunct w:val="0"/>
              <w:bidi w:val="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eastAsia="宋体" w:cs="宋体"/>
                <w:color w:val="auto"/>
                <w:sz w:val="24"/>
                <w:highlight w:val="none"/>
                <w:lang w:eastAsia="zh-CN"/>
              </w:rPr>
              <w:t>南昌市红谷滩区丰和中大道1318号南昌建设大厦8楼</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人民币贰仟柒佰伍拾贰元（￥2752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377982317"/>
      <w:bookmarkStart w:id="4" w:name="_Toc324678925"/>
      <w:bookmarkStart w:id="5" w:name="_Toc17175"/>
      <w:bookmarkStart w:id="6" w:name="_Toc147282124"/>
      <w:bookmarkStart w:id="7" w:name="_Toc31761"/>
      <w:r>
        <w:rPr>
          <w:rFonts w:hint="eastAsia" w:ascii="宋体" w:hAnsi="宋体" w:eastAsia="宋体" w:cs="宋体"/>
          <w:b/>
          <w:bCs/>
          <w:color w:val="auto"/>
          <w:sz w:val="24"/>
          <w:highlight w:val="none"/>
        </w:rPr>
        <w:t>1. 适用范围</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参选文件格式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pPr>
        <w:pStyle w:val="46"/>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比选人设定的招标</w:t>
      </w:r>
      <w:r>
        <w:rPr>
          <w:rFonts w:hint="eastAsia" w:ascii="宋体" w:hAnsi="宋体" w:eastAsia="宋体" w:cs="宋体"/>
          <w:bCs/>
          <w:color w:val="auto"/>
          <w:kern w:val="2"/>
          <w:sz w:val="24"/>
          <w:szCs w:val="24"/>
          <w:highlight w:val="none"/>
          <w:lang w:eastAsia="zh-CN"/>
        </w:rPr>
        <w:t>要约</w:t>
      </w:r>
      <w:r>
        <w:rPr>
          <w:rFonts w:hint="eastAsia" w:ascii="宋体" w:hAnsi="宋体" w:eastAsia="宋体" w:cs="宋体"/>
          <w:bCs/>
          <w:color w:val="auto"/>
          <w:kern w:val="2"/>
          <w:sz w:val="24"/>
          <w:szCs w:val="24"/>
          <w:highlight w:val="none"/>
        </w:rPr>
        <w:t>价</w:t>
      </w:r>
      <w:r>
        <w:rPr>
          <w:rFonts w:hint="eastAsia" w:hAnsi="宋体" w:cs="宋体"/>
          <w:bCs/>
          <w:color w:val="auto"/>
          <w:kern w:val="2"/>
          <w:sz w:val="24"/>
          <w:szCs w:val="24"/>
          <w:highlight w:val="none"/>
          <w:u w:val="single"/>
          <w:lang w:val="en-US" w:eastAsia="zh-CN"/>
        </w:rPr>
        <w:t>561730.9</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pPr>
        <w:pStyle w:val="46"/>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pPr>
        <w:pStyle w:val="46"/>
        <w:pageBreakBefore w:val="0"/>
        <w:kinsoku/>
        <w:overflowPunct/>
        <w:topLinePunct w:val="0"/>
        <w:bidi w:val="0"/>
        <w:rPr>
          <w:rFonts w:hint="eastAsia" w:ascii="宋体" w:hAnsi="宋体" w:eastAsia="宋体" w:cs="宋体"/>
          <w:color w:val="auto"/>
          <w:highlight w:val="none"/>
        </w:rPr>
      </w:pPr>
    </w:p>
    <w:p>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bookmarkEnd w:id="3"/>
    <w:bookmarkEnd w:id="4"/>
    <w:bookmarkEnd w:id="5"/>
    <w:bookmarkEnd w:id="6"/>
    <w:bookmarkEnd w:id="7"/>
    <w:p>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评审办法（综合评分法）</w:t>
      </w:r>
      <w:bookmarkEnd w:id="35"/>
    </w:p>
    <w:p>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p>
      <w:pPr>
        <w:pStyle w:val="2"/>
        <w:rPr>
          <w:rFonts w:hint="eastAsia"/>
          <w:color w:val="auto"/>
          <w:highlight w:val="none"/>
        </w:rPr>
      </w:pP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0分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报价</w:t>
            </w:r>
            <w:r>
              <w:rPr>
                <w:rFonts w:ascii="宋体" w:hAnsi="宋体"/>
                <w:color w:val="auto"/>
                <w:sz w:val="24"/>
                <w:szCs w:val="24"/>
                <w:highlight w:val="none"/>
              </w:rPr>
              <w:t>响应要约价的</w:t>
            </w:r>
            <w:r>
              <w:rPr>
                <w:rFonts w:hint="eastAsia" w:ascii="宋体" w:cs="宋体"/>
                <w:color w:val="auto"/>
                <w:sz w:val="24"/>
                <w:szCs w:val="24"/>
                <w:highlight w:val="none"/>
              </w:rPr>
              <w:t>，得</w:t>
            </w:r>
            <w:r>
              <w:rPr>
                <w:rFonts w:hint="eastAsia" w:ascii="宋体" w:cs="宋体"/>
                <w:color w:val="auto"/>
                <w:sz w:val="24"/>
                <w:szCs w:val="24"/>
                <w:highlight w:val="none"/>
                <w:lang w:val="en-US" w:eastAsia="zh-CN"/>
              </w:rPr>
              <w:t>6</w:t>
            </w:r>
            <w:r>
              <w:rPr>
                <w:rFonts w:hint="eastAsia" w:ascii="宋体" w:cs="宋体"/>
                <w:color w:val="auto"/>
                <w:sz w:val="24"/>
                <w:szCs w:val="24"/>
                <w:highlight w:val="none"/>
              </w:rPr>
              <w:t>0分。</w:t>
            </w:r>
            <w:r>
              <w:rPr>
                <w:rFonts w:ascii="宋体" w:hAnsi="宋体"/>
                <w:color w:val="auto"/>
                <w:sz w:val="24"/>
                <w:szCs w:val="24"/>
                <w:highlight w:val="none"/>
              </w:rPr>
              <w:t>未响应要约价的，将被视为不响应</w:t>
            </w:r>
            <w:r>
              <w:rPr>
                <w:rFonts w:hint="eastAsia" w:ascii="宋体" w:hAnsi="宋体"/>
                <w:color w:val="auto"/>
                <w:sz w:val="24"/>
                <w:szCs w:val="24"/>
                <w:highlight w:val="none"/>
                <w:lang w:eastAsia="zh-CN"/>
              </w:rPr>
              <w:t>比选</w:t>
            </w:r>
            <w:r>
              <w:rPr>
                <w:rFonts w:ascii="宋体" w:hAnsi="宋体"/>
                <w:color w:val="auto"/>
                <w:sz w:val="24"/>
                <w:szCs w:val="24"/>
                <w:highlight w:val="none"/>
              </w:rPr>
              <w:t>文件的实质性要求</w:t>
            </w:r>
            <w:r>
              <w:rPr>
                <w:rFonts w:hint="eastAsia" w:ascii="宋体" w:hAnsi="宋体"/>
                <w:color w:val="auto"/>
                <w:sz w:val="24"/>
                <w:szCs w:val="24"/>
                <w:highlight w:val="none"/>
              </w:rPr>
              <w:t>，</w:t>
            </w:r>
            <w:r>
              <w:rPr>
                <w:rFonts w:hint="eastAsia" w:ascii="宋体" w:cs="宋体"/>
                <w:color w:val="auto"/>
                <w:sz w:val="24"/>
                <w:szCs w:val="24"/>
                <w:highlight w:val="none"/>
              </w:rPr>
              <w:t>作无效标</w:t>
            </w:r>
            <w:r>
              <w:rPr>
                <w:rFonts w:ascii="宋体" w:hAnsi="宋体"/>
                <w:color w:val="auto"/>
                <w:sz w:val="24"/>
                <w:szCs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noWrap w:val="0"/>
            <w:vAlign w:val="center"/>
          </w:tcPr>
          <w:p>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技术响应性评审</w:t>
            </w:r>
          </w:p>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(10分</w:t>
            </w:r>
            <w:r>
              <w:rPr>
                <w:rFonts w:hint="eastAsia" w:ascii="宋体" w:cs="宋体"/>
                <w:color w:val="auto"/>
                <w:sz w:val="24"/>
                <w:szCs w:val="24"/>
                <w:highlight w:val="none"/>
                <w:lang w:eastAsia="zh-CN"/>
              </w:rPr>
              <w:t>）</w:t>
            </w:r>
          </w:p>
        </w:tc>
        <w:tc>
          <w:tcPr>
            <w:tcW w:w="7304" w:type="dxa"/>
            <w:noWrap w:val="0"/>
            <w:vAlign w:val="center"/>
          </w:tcPr>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内容是否与招标范围相同；</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2、投标工期是否满足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4、投标有效期是否满足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要求的时间和方式提供投标担保；</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9、投标的组织结构中人员名单是否与资格预审时一致；</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中有不响应性内容时，属于否决投标的，按否决投标处理。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5" w:hRule="atLeast"/>
          <w:jc w:val="center"/>
        </w:trPr>
        <w:tc>
          <w:tcPr>
            <w:tcW w:w="1194" w:type="dxa"/>
            <w:noWrap w:val="0"/>
            <w:vAlign w:val="center"/>
          </w:tcPr>
          <w:p>
            <w:pPr>
              <w:pStyle w:val="25"/>
              <w:ind w:left="0" w:leftChars="0" w:firstLine="0" w:firstLineChars="0"/>
              <w:jc w:val="cente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eastAsia="宋体"/>
                <w:color w:val="auto"/>
                <w:highlight w:val="none"/>
                <w:lang w:val="en-US" w:eastAsia="zh-CN"/>
              </w:rPr>
            </w:pPr>
            <w:r>
              <w:rPr>
                <w:rFonts w:hint="eastAsia" w:ascii="宋体" w:cs="宋体"/>
                <w:color w:val="auto"/>
                <w:sz w:val="24"/>
                <w:szCs w:val="24"/>
                <w:highlight w:val="none"/>
              </w:rPr>
              <w:t>施工组织设计</w:t>
            </w:r>
            <w:r>
              <w:rPr>
                <w:rFonts w:hint="eastAsia" w:ascii="宋体" w:cs="宋体"/>
                <w:color w:val="auto"/>
                <w:sz w:val="24"/>
                <w:szCs w:val="24"/>
                <w:highlight w:val="none"/>
                <w:lang w:val="en-US" w:eastAsia="zh-CN"/>
              </w:rPr>
              <w:t>评审</w:t>
            </w:r>
          </w:p>
          <w:p>
            <w:pPr>
              <w:pStyle w:val="24"/>
              <w:spacing w:line="240" w:lineRule="auto"/>
              <w:ind w:firstLine="0"/>
              <w:jc w:val="center"/>
              <w:rPr>
                <w:rFonts w:hint="eastAsia" w:ascii="宋体" w:hAnsi="宋体" w:eastAsia="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190" w:type="dxa"/>
            <w:noWrap w:val="0"/>
            <w:vAlign w:val="center"/>
          </w:tcPr>
          <w:p>
            <w:pPr>
              <w:spacing w:line="420" w:lineRule="exact"/>
              <w:jc w:val="center"/>
              <w:rPr>
                <w:rFonts w:hint="eastAsia" w:ascii="宋体" w:cs="宋体"/>
                <w:color w:val="auto"/>
                <w:sz w:val="24"/>
                <w:szCs w:val="24"/>
                <w:highlight w:val="none"/>
              </w:rPr>
            </w:pPr>
            <w:r>
              <w:rPr>
                <w:rFonts w:hint="eastAsia" w:ascii="宋体" w:cs="宋体"/>
                <w:color w:val="auto"/>
                <w:sz w:val="24"/>
                <w:szCs w:val="24"/>
                <w:highlight w:val="none"/>
              </w:rPr>
              <w:t>施工组织设计</w:t>
            </w:r>
          </w:p>
          <w:p>
            <w:pPr>
              <w:spacing w:line="420" w:lineRule="exact"/>
              <w:jc w:val="center"/>
              <w:rPr>
                <w:rFonts w:hint="eastAsia" w:ascii="宋体" w:hAnsi="宋体" w:eastAsia="宋体" w:cs="宋体"/>
                <w:color w:val="auto"/>
                <w:sz w:val="24"/>
                <w:szCs w:val="24"/>
                <w:highlight w:val="none"/>
                <w:lang w:eastAsia="zh-CN"/>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r>
              <w:rPr>
                <w:rFonts w:hint="eastAsia" w:ascii="宋体" w:cs="宋体"/>
                <w:color w:val="auto"/>
                <w:sz w:val="24"/>
                <w:szCs w:val="24"/>
                <w:highlight w:val="none"/>
                <w:lang w:eastAsia="zh-CN"/>
              </w:rPr>
              <w:t>）</w:t>
            </w:r>
          </w:p>
        </w:tc>
        <w:tc>
          <w:tcPr>
            <w:tcW w:w="7304" w:type="dxa"/>
            <w:noWrap w:val="0"/>
            <w:vAlign w:val="center"/>
          </w:tcPr>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详见附件</w:t>
            </w:r>
            <w:r>
              <w:rPr>
                <w:rFonts w:hint="eastAsia" w:ascii="宋体" w:hAnsi="Times New Roman" w:eastAsia="宋体" w:cs="宋体"/>
                <w:color w:val="auto"/>
                <w:sz w:val="24"/>
                <w:szCs w:val="24"/>
                <w:highlight w:val="none"/>
                <w:lang w:val="en-US" w:eastAsia="zh-CN"/>
              </w:rPr>
              <w:t>1《施工组织设计评审(分)标准》。</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cs="宋体"/>
                <w:b/>
                <w:bCs/>
                <w:color w:val="auto"/>
                <w:sz w:val="24"/>
                <w:szCs w:val="24"/>
                <w:highlight w:val="none"/>
              </w:rPr>
              <w:t>评审依据：</w:t>
            </w:r>
            <w:r>
              <w:rPr>
                <w:rFonts w:hint="eastAsia" w:ascii="宋体" w:cs="宋体"/>
                <w:b/>
                <w:bCs/>
                <w:color w:val="auto"/>
                <w:sz w:val="24"/>
                <w:szCs w:val="24"/>
                <w:highlight w:val="none"/>
                <w:lang w:eastAsia="zh-CN"/>
              </w:rPr>
              <w:t>参选文件</w:t>
            </w:r>
            <w:r>
              <w:rPr>
                <w:rFonts w:hint="eastAsia" w:ascii="宋体" w:cs="宋体"/>
                <w:b/>
                <w:bCs/>
                <w:color w:val="auto"/>
                <w:sz w:val="24"/>
                <w:szCs w:val="24"/>
                <w:highlight w:val="none"/>
              </w:rPr>
              <w:t>中的</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w:t>
            </w:r>
          </w:p>
          <w:p>
            <w:pPr>
              <w:tabs>
                <w:tab w:val="left" w:pos="780"/>
              </w:tabs>
              <w:jc w:val="left"/>
              <w:rPr>
                <w:rFonts w:hint="eastAsia" w:ascii="宋体" w:hAnsi="宋体" w:eastAsia="宋体" w:cs="宋体"/>
                <w:b/>
                <w:color w:val="auto"/>
                <w:spacing w:val="-2"/>
                <w:sz w:val="24"/>
                <w:szCs w:val="24"/>
                <w:highlight w:val="none"/>
              </w:rPr>
            </w:pPr>
            <w:r>
              <w:rPr>
                <w:rFonts w:hint="eastAsia" w:ascii="宋体" w:cs="宋体"/>
                <w:b/>
                <w:bCs/>
                <w:color w:val="auto"/>
                <w:sz w:val="24"/>
                <w:szCs w:val="24"/>
                <w:highlight w:val="none"/>
              </w:rPr>
              <w:t>备注：评标专家对</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独立评标计分，取所有专家评分的算术平均值，即为该</w:t>
            </w:r>
            <w:r>
              <w:rPr>
                <w:rFonts w:hint="eastAsia" w:ascii="宋体" w:cs="宋体"/>
                <w:b/>
                <w:bCs/>
                <w:color w:val="auto"/>
                <w:sz w:val="24"/>
                <w:szCs w:val="24"/>
                <w:highlight w:val="none"/>
                <w:lang w:eastAsia="zh-CN"/>
              </w:rPr>
              <w:t>参选人</w:t>
            </w:r>
            <w:r>
              <w:rPr>
                <w:rFonts w:hint="eastAsia" w:ascii="宋体" w:cs="宋体"/>
                <w:b/>
                <w:bCs/>
                <w:color w:val="auto"/>
                <w:sz w:val="24"/>
                <w:szCs w:val="24"/>
                <w:highlight w:val="none"/>
              </w:rPr>
              <w:t>的</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得分。</w:t>
            </w:r>
          </w:p>
        </w:tc>
      </w:tr>
    </w:tbl>
    <w:p>
      <w:pPr>
        <w:pStyle w:val="7"/>
        <w:pageBreakBefore w:val="0"/>
        <w:kinsoku/>
        <w:overflowPunct/>
        <w:topLinePunct w:val="0"/>
        <w:bidi w:val="0"/>
        <w:rPr>
          <w:rFonts w:hint="eastAsia" w:ascii="宋体" w:hAnsi="宋体" w:eastAsia="宋体" w:cs="宋体"/>
          <w:b/>
          <w:bCs/>
          <w:color w:val="auto"/>
          <w:sz w:val="32"/>
          <w:szCs w:val="32"/>
          <w:highlight w:val="none"/>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rPr>
          <w:rFonts w:hint="eastAsia" w:ascii="宋体" w:hAnsi="宋体" w:eastAsia="宋体" w:cs="宋体"/>
          <w:color w:val="auto"/>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6"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一、招标要约价清单</w:t>
      </w:r>
    </w:p>
    <w:tbl>
      <w:tblPr>
        <w:tblStyle w:val="26"/>
        <w:tblW w:w="91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681"/>
        <w:gridCol w:w="2604"/>
        <w:gridCol w:w="1113"/>
        <w:gridCol w:w="1000"/>
        <w:gridCol w:w="1032"/>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8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0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11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0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电动车棚工程</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477851.58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会展路车棚</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283289.09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平整场地</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1、场地平整</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1138.44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挖一般土方</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1、场地土方开挖修坡</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350.68</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1、挖掘机挖电动车棚基础</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17.664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14.22</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1、自卸汽车运土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2、运距暂按12km</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368.344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22.87</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独立基础</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1、现浇c25混凝土基础</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38.83</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1、基础铁件预埋</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2814.34</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实腹钢柱</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1、车棚钢柱制作安装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2603.02</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11518.36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钢梁</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1、车棚钢梁制作安装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2417.37</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10977.28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钢支撑、钢拉条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1、车棚其余钢构件制作安装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2447.66</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钢构件</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1、钢构件运输</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18.737</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57.39</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1、钢构件涂刷防腐漆</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854.392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25828.27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膜结构屋面</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3mm厚膜材(进口3mmPVDF,1100克)</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760.872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114.7</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87272.02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1、台湾青</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314.26</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7510.81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栽植绿篱</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1、法国冬青H140cm</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89.03</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8698.23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200mm*100mm*50mm厚透水砖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100mm厚干混水泥砂浆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250mm厚C20混凝土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素土夯实(夯实率&gt;95%)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745.16</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114.47</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85298.47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安砌侧(平、缘）石</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1000*250*120大理石路缘石</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129.8</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沟盖板、井盖板、井圈</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900*900*80不锈钢井盖</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沟盖板、井盖板、井圈</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1200*1200重型铸铁井盖</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树池砌筑</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1、树池砌筑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2、大理石铺贴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3、种植土回填</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959.19</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52.98</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人工找管线</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人工找管线</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电动车架</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成品电动车架安装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世贸路车棚</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194562.49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平整场地</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1、场地平整</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712.81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挖一般土方</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1、场地土方开挖修坡</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224.24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1、挖掘机挖电动车棚基础</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12.288</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14.22</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1、自卸汽车运土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2、运距暂按12km</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236.53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22.88</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独立基础</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1、现浇c25混凝土基础</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20.48</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38.83</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1、基础铁件预埋</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2814.34</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实腹钢柱</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1、车棚钢柱制作安装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3.078</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2603.02</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钢梁</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1、车棚钢梁制作安装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3.159</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2417.37</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钢支撑、钢拉条</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1、车棚其余钢构件制作安装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2447.66</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11699.81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钢构件</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1、钢构件运输</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12.882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57.39</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1、钢构件涂刷防腐漆</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586.264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17722.76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膜结构屋面</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3mm厚膜材(进口3mmPVDF,1100克)</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508.715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114.7</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58349.61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1、草坪</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23.59</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1、杜鹃</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100.07</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栽植灌木</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1、红花继木球</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445.25</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种植土回（换）填</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1、种植土回填</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62.69</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200mm*100mm*50mm厚透水砖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100mm厚干混水泥砂浆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250mm厚C20混凝土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素土夯实(夯实率&gt;95%)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535.07</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114.47</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61249.46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安砌侧(平、缘）石</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1000*250*120大理石路缘石</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112.09</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沟盖板、井盖板、井圈</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900*900*80不锈钢井盖</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沟盖板、井盖板、井圈</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400*400树脂井盖</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52.98</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人工找管线</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人工找管线</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电动车架</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成品电动车架安装</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零星工日</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1、原有斜坡改道4工日</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零星工日</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1.原有消防栓刷红漆,1工日</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零星工日</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1.消防栓新建不锈钢罩470*470*670一个，工日1个</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市委停车场</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47985.76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人工拆除原花岗岩地面</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1.拆除原花岗岩地面（含砂浆层）</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12.42</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人工拆除混凝土结构</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1.拆除180mm厚素混凝土基础</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255.81</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11649.59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人工拆除基层</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1.拆除150mm厚碎石垫层</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83.78</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1.履带式液压挖掘机挖碴 装车 斗容0.6m3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2.自卸汽车（载重8吨）外运：运距暂定12km</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113.85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49.09</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新增生态陶瓷透水砖</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1.路床整形 路床碾压检验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2.150mm厚碎石垫层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3.180mm厚C20素混凝土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4.30mm厚1:3水泥砂浆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5.60mm厚100×200生态陶瓷透水砖</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72.44</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18327.32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安砌侧(平、缘）石</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1.10*25cm砼路沿石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2.30mm厚1:3水泥砂浆</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1.满铺果岭草草皮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2.绿化养护一年</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38.26</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绿化回填种植土</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1.种植土外购并回填</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43.69</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转移监控</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1.转移监控</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2560</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转移宣传栏</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1.转移宣传栏</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6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混凝土其他构件</w:t>
            </w:r>
          </w:p>
        </w:tc>
        <w:tc>
          <w:tcPr>
            <w:tcW w:w="26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1.C20混凝土柱脚基础</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105.87</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68"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525837.34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68"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税金</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16361.09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68"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19532.47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68"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总计</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561730.9</w:t>
            </w:r>
          </w:p>
        </w:tc>
      </w:tr>
    </w:tbl>
    <w:p>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w:t>
      </w:r>
      <w:r>
        <w:rPr>
          <w:rFonts w:hint="eastAsia" w:ascii="宋体" w:hAnsi="宋体" w:cs="宋体"/>
          <w:color w:val="auto"/>
          <w:kern w:val="2"/>
          <w:sz w:val="24"/>
          <w:szCs w:val="24"/>
          <w:highlight w:val="none"/>
          <w:lang w:val="en-US" w:eastAsia="zh-CN" w:bidi="ar-SA"/>
        </w:rPr>
        <w:t>完</w:t>
      </w:r>
      <w:r>
        <w:rPr>
          <w:rFonts w:hint="eastAsia" w:ascii="宋体" w:hAnsi="宋体" w:eastAsia="宋体" w:cs="宋体"/>
          <w:color w:val="auto"/>
          <w:kern w:val="2"/>
          <w:sz w:val="24"/>
          <w:szCs w:val="24"/>
          <w:highlight w:val="none"/>
          <w:lang w:val="en-US" w:eastAsia="zh-CN" w:bidi="ar-SA"/>
        </w:rPr>
        <w:t>工办理验收后支付至</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0%，结算审计完成支付至结算价97%，剩余3%作为质保金，待质量缺陷责任期（24个月）满后一次性无息支付。</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投标报价要求：投标报价采用报价承诺的形式。参选人应当对比选人发出的比选文件、招标控制价及要约价进行认真地分析，在确保工程质量目标、安全生产、施工工期等要求的前提下，结合自身技术水平、管理、经营状况，充分考虑市场环境和生产要素价格的变化及风险，做出是否有能力实现要约条件的判断，参选人不得盲目承诺报价。</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10、未响应要约价的参选文件，比选人不能接受，将被视为不响应比选文件的实质性要求。</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11、工期延误赔偿费：工期延误赔偿1000元/日历天，赔偿费限额为合同价格的2%。</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12、合同履行期间因市场物价波动影响合同价款，中标人采购的主要材料单价涨（跌）幅超过基准价格±5％时中标人应分摊计价风险。</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13、中标单位须开具有效增值税专用发票。</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pPr>
        <w:pStyle w:val="2"/>
        <w:numPr>
          <w:ilvl w:val="0"/>
          <w:numId w:val="0"/>
        </w:numPr>
        <w:rPr>
          <w:rFonts w:hint="eastAsia"/>
          <w:color w:val="auto"/>
          <w:highlight w:val="none"/>
          <w:lang w:val="en-US" w:eastAsia="zh-CN"/>
        </w:rPr>
      </w:pPr>
    </w:p>
    <w:p>
      <w:pPr>
        <w:numPr>
          <w:ilvl w:val="0"/>
          <w:numId w:val="0"/>
        </w:numPr>
        <w:spacing w:line="360" w:lineRule="auto"/>
        <w:rPr>
          <w:rFonts w:hint="eastAsia" w:ascii="宋体" w:hAnsi="宋体" w:eastAsia="宋体" w:cs="宋体"/>
          <w:color w:val="auto"/>
          <w:sz w:val="32"/>
          <w:szCs w:val="32"/>
          <w:highlight w:val="none"/>
          <w:lang w:val="en-US" w:eastAsia="zh-CN"/>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bookmarkStart w:id="37" w:name="_Toc17144"/>
      <w:r>
        <w:rPr>
          <w:rFonts w:hint="eastAsia" w:ascii="宋体" w:hAnsi="宋体" w:eastAsia="宋体" w:cs="宋体"/>
          <w:b/>
          <w:color w:val="auto"/>
          <w:sz w:val="30"/>
          <w:szCs w:val="30"/>
          <w:highlight w:val="none"/>
        </w:rPr>
        <w:t xml:space="preserve">第五章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参选文件格式</w:t>
      </w:r>
      <w:bookmarkEnd w:id="37"/>
    </w:p>
    <w:p>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Style w:val="46"/>
        <w:pageBreakBefore w:val="0"/>
        <w:kinsoku/>
        <w:overflowPunct/>
        <w:topLinePunct w:val="0"/>
        <w:bidi w:val="0"/>
        <w:rPr>
          <w:rFonts w:hint="eastAsia" w:ascii="宋体" w:hAnsi="宋体" w:eastAsia="宋体" w:cs="宋体"/>
          <w:color w:val="auto"/>
          <w:sz w:val="32"/>
          <w:szCs w:val="32"/>
          <w:highlight w:val="none"/>
        </w:rPr>
      </w:pPr>
    </w:p>
    <w:p>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8" w:name="_Toc27904"/>
      <w:r>
        <w:rPr>
          <w:rFonts w:hint="eastAsia" w:ascii="宋体" w:hAnsi="宋体" w:eastAsia="宋体" w:cs="宋体"/>
          <w:b/>
          <w:bCs/>
          <w:color w:val="auto"/>
          <w:sz w:val="32"/>
          <w:szCs w:val="32"/>
          <w:highlight w:val="none"/>
        </w:rPr>
        <w:t>项目名称：</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9" w:name="_Toc30701"/>
      <w:r>
        <w:rPr>
          <w:rFonts w:hint="eastAsia" w:ascii="宋体" w:hAnsi="宋体" w:eastAsia="宋体" w:cs="宋体"/>
          <w:b/>
          <w:bCs/>
          <w:color w:val="auto"/>
          <w:sz w:val="32"/>
          <w:szCs w:val="32"/>
          <w:highlight w:val="none"/>
        </w:rPr>
        <w:t>项目编号：</w:t>
      </w:r>
      <w:bookmarkEnd w:id="39"/>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0"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1"/>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2"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2"/>
      <w:r>
        <w:rPr>
          <w:rFonts w:hint="eastAsia" w:ascii="宋体" w:hAnsi="宋体" w:eastAsia="宋体" w:cs="宋体"/>
          <w:b/>
          <w:bCs/>
          <w:color w:val="auto"/>
          <w:sz w:val="32"/>
          <w:szCs w:val="32"/>
          <w:highlight w:val="none"/>
          <w:u w:val="singl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3"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3"/>
    </w:p>
    <w:p>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4" w:name="_Toc5878"/>
      <w:r>
        <w:rPr>
          <w:rFonts w:hint="eastAsia" w:ascii="宋体" w:hAnsi="宋体" w:eastAsia="宋体" w:cs="宋体"/>
          <w:b/>
          <w:bCs/>
          <w:color w:val="auto"/>
          <w:sz w:val="30"/>
          <w:szCs w:val="30"/>
          <w:highlight w:val="none"/>
        </w:rPr>
        <w:t>1、参选函</w:t>
      </w:r>
      <w:bookmarkEnd w:id="44"/>
    </w:p>
    <w:p>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性承诺</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pPr>
        <w:pageBreakBefore w:val="0"/>
        <w:kinsoku/>
        <w:overflowPunct/>
        <w:topLinePunct w:val="0"/>
        <w:bidi w:val="0"/>
        <w:jc w:val="right"/>
        <w:rPr>
          <w:rFonts w:hint="eastAsia" w:ascii="宋体" w:hAnsi="宋体" w:eastAsia="宋体" w:cs="宋体"/>
          <w:b/>
          <w:bCs/>
          <w:color w:val="auto"/>
          <w:sz w:val="24"/>
          <w:highlight w:val="none"/>
        </w:rPr>
      </w:pP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5" w:name="_Toc28420"/>
    </w:p>
    <w:p>
      <w:pPr>
        <w:pageBreakBefore w:val="0"/>
        <w:kinsoku/>
        <w:overflowPunct/>
        <w:topLinePunct w:val="0"/>
        <w:bidi w:val="0"/>
        <w:jc w:val="center"/>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2、参选承诺书</w:t>
      </w:r>
      <w:bookmarkEnd w:id="45"/>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pPr>
        <w:pageBreakBefore w:val="0"/>
        <w:kinsoku/>
        <w:overflowPunct/>
        <w:topLinePunct w:val="0"/>
        <w:bidi w:val="0"/>
        <w:spacing w:line="580" w:lineRule="exact"/>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6" w:name="_Toc344409075"/>
      <w:bookmarkStart w:id="47" w:name="_Toc323199452"/>
      <w:bookmarkStart w:id="48" w:name="_Toc346096038"/>
      <w:bookmarkStart w:id="49" w:name="_Toc344409279"/>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4586"/>
      <w:r>
        <w:rPr>
          <w:rFonts w:hint="eastAsia" w:ascii="宋体" w:hAnsi="宋体" w:eastAsia="宋体" w:cs="宋体"/>
          <w:b/>
          <w:bCs/>
          <w:color w:val="auto"/>
          <w:sz w:val="32"/>
          <w:szCs w:val="32"/>
          <w:highlight w:val="none"/>
        </w:rPr>
        <w:t>3、开标一览表</w:t>
      </w:r>
      <w:bookmarkEnd w:id="46"/>
      <w:bookmarkEnd w:id="47"/>
      <w:bookmarkEnd w:id="48"/>
      <w:bookmarkEnd w:id="49"/>
      <w:bookmarkEnd w:id="50"/>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pageBreakBefore w:val="0"/>
        <w:kinsoku/>
        <w:overflowPunct/>
        <w:topLinePunct w:val="0"/>
        <w:bidi w:val="0"/>
        <w:rPr>
          <w:rFonts w:hint="eastAsia" w:ascii="宋体" w:hAnsi="宋体" w:eastAsia="宋体" w:cs="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pPr>
              <w:jc w:val="center"/>
              <w:rPr>
                <w:rFonts w:hint="eastAsia" w:ascii="宋体" w:hAnsi="宋体" w:eastAsia="宋体" w:cs="宋体"/>
                <w:color w:val="auto"/>
                <w:sz w:val="24"/>
                <w:szCs w:val="24"/>
                <w:highlight w:val="none"/>
              </w:rPr>
            </w:pPr>
          </w:p>
        </w:tc>
        <w:tc>
          <w:tcPr>
            <w:tcW w:w="14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1" w:name="_Toc1062"/>
      <w:r>
        <w:rPr>
          <w:rFonts w:hint="eastAsia" w:ascii="宋体" w:hAnsi="宋体" w:eastAsia="宋体" w:cs="宋体"/>
          <w:b/>
          <w:bCs/>
          <w:color w:val="auto"/>
          <w:sz w:val="32"/>
          <w:szCs w:val="32"/>
          <w:highlight w:val="none"/>
        </w:rPr>
        <w:t>4、开标一览明细表</w:t>
      </w:r>
      <w:bookmarkEnd w:id="51"/>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未响应要约价的，将被视为不响应</w:t>
      </w:r>
      <w:r>
        <w:rPr>
          <w:rFonts w:hint="eastAsia" w:hAnsi="宋体" w:cs="宋体"/>
          <w:color w:val="auto"/>
          <w:kern w:val="2"/>
          <w:sz w:val="24"/>
          <w:szCs w:val="24"/>
          <w:highlight w:val="none"/>
          <w:lang w:val="en-US" w:eastAsia="zh-CN"/>
        </w:rPr>
        <w:t>比选文件</w:t>
      </w:r>
      <w:r>
        <w:rPr>
          <w:rFonts w:hint="eastAsia" w:ascii="宋体" w:hAnsi="宋体" w:eastAsia="宋体" w:cs="宋体"/>
          <w:color w:val="auto"/>
          <w:kern w:val="2"/>
          <w:sz w:val="24"/>
          <w:szCs w:val="24"/>
          <w:highlight w:val="none"/>
          <w:lang w:val="en-US" w:eastAsia="zh-CN"/>
        </w:rPr>
        <w:t>的实质性要求，作无效标处理。</w:t>
      </w:r>
    </w:p>
    <w:p>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分项报价表由</w:t>
      </w:r>
      <w:r>
        <w:rPr>
          <w:rFonts w:hint="eastAsia" w:hAnsi="宋体" w:cs="宋体"/>
          <w:color w:val="auto"/>
          <w:kern w:val="2"/>
          <w:sz w:val="24"/>
          <w:szCs w:val="24"/>
          <w:highlight w:val="none"/>
          <w:lang w:val="en-US" w:eastAsia="zh-CN"/>
        </w:rPr>
        <w:t>比选人</w:t>
      </w:r>
      <w:r>
        <w:rPr>
          <w:rFonts w:hint="eastAsia" w:ascii="宋体" w:hAnsi="宋体" w:eastAsia="宋体" w:cs="宋体"/>
          <w:color w:val="auto"/>
          <w:kern w:val="2"/>
          <w:sz w:val="24"/>
          <w:szCs w:val="24"/>
          <w:highlight w:val="none"/>
          <w:lang w:val="en-US" w:eastAsia="zh-CN"/>
        </w:rPr>
        <w:t>提供的招标要约价组成，参选人须附《招标要约价》所有内容。</w:t>
      </w:r>
    </w:p>
    <w:p>
      <w:pPr>
        <w:pageBreakBefore w:val="0"/>
        <w:kinsoku/>
        <w:overflowPunct/>
        <w:topLinePunct w:val="0"/>
        <w:bidi w:val="0"/>
        <w:spacing w:line="480" w:lineRule="auto"/>
        <w:jc w:val="both"/>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48"/>
        <w:pageBreakBefore w:val="0"/>
        <w:kinsoku/>
        <w:overflowPunct/>
        <w:topLinePunct w:val="0"/>
        <w:bidi w:val="0"/>
        <w:rPr>
          <w:rFonts w:hint="eastAsia" w:ascii="宋体" w:hAnsi="宋体" w:eastAsia="宋体" w:cs="宋体"/>
          <w:color w:val="auto"/>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jc w:val="center"/>
        <w:rPr>
          <w:rFonts w:hint="default"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、技术响应</w:t>
      </w:r>
      <w:r>
        <w:rPr>
          <w:rFonts w:hint="eastAsia" w:ascii="宋体" w:hAnsi="宋体" w:cs="宋体"/>
          <w:b/>
          <w:bCs/>
          <w:color w:val="auto"/>
          <w:sz w:val="36"/>
          <w:szCs w:val="36"/>
          <w:highlight w:val="none"/>
          <w:lang w:val="en-US" w:eastAsia="zh-CN"/>
        </w:rPr>
        <w:t>性承诺</w:t>
      </w:r>
    </w:p>
    <w:p>
      <w:pPr>
        <w:rPr>
          <w:rFonts w:hint="eastAsia" w:ascii="宋体" w:hAnsi="宋体" w:cs="宋体"/>
          <w:color w:val="auto"/>
          <w:highlight w:val="none"/>
        </w:rPr>
      </w:pPr>
    </w:p>
    <w:p>
      <w:pPr>
        <w:ind w:firstLine="840" w:firstLineChars="400"/>
        <w:rPr>
          <w:rFonts w:hint="eastAsia" w:ascii="宋体" w:hAnsi="宋体" w:cs="宋体"/>
          <w:color w:val="auto"/>
          <w:highlight w:val="none"/>
        </w:rPr>
      </w:pPr>
      <w:r>
        <w:rPr>
          <w:rFonts w:hint="eastAsia" w:ascii="宋体" w:hAnsi="宋体" w:cs="宋体"/>
          <w:color w:val="auto"/>
          <w:highlight w:val="none"/>
          <w:lang w:eastAsia="zh-CN"/>
        </w:rPr>
        <w:t>项目名称</w:t>
      </w:r>
      <w:r>
        <w:rPr>
          <w:rFonts w:hint="eastAsia" w:ascii="宋体" w:hAnsi="宋体" w:cs="宋体"/>
          <w:color w:val="auto"/>
          <w:highlight w:val="none"/>
        </w:rPr>
        <w:t xml:space="preserve">：                                                    </w:t>
      </w:r>
      <w:r>
        <w:rPr>
          <w:rFonts w:hint="eastAsia" w:ascii="宋体" w:hAnsi="宋体" w:cs="宋体"/>
          <w:color w:val="auto"/>
          <w:highlight w:val="none"/>
          <w:lang w:val="zh-CN"/>
        </w:rPr>
        <w:t>项目编号</w:t>
      </w:r>
      <w:r>
        <w:rPr>
          <w:rFonts w:hint="eastAsia" w:ascii="宋体" w:hAnsi="宋体" w:cs="宋体"/>
          <w:color w:val="auto"/>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pPr>
              <w:pStyle w:val="15"/>
              <w:spacing w:line="400" w:lineRule="exact"/>
              <w:jc w:val="center"/>
              <w:rPr>
                <w:rFonts w:hint="eastAsia" w:hAnsi="宋体" w:cs="宋体"/>
                <w:color w:val="auto"/>
                <w:kern w:val="2"/>
                <w:szCs w:val="24"/>
                <w:highlight w:val="none"/>
              </w:rPr>
            </w:pPr>
            <w:r>
              <w:rPr>
                <w:rFonts w:hint="eastAsia" w:hAnsi="宋体" w:cs="宋体"/>
                <w:color w:val="auto"/>
                <w:kern w:val="2"/>
                <w:szCs w:val="24"/>
                <w:highlight w:val="none"/>
              </w:rPr>
              <w:t>序号</w:t>
            </w:r>
          </w:p>
        </w:tc>
        <w:tc>
          <w:tcPr>
            <w:tcW w:w="4135" w:type="dxa"/>
            <w:noWrap w:val="0"/>
            <w:vAlign w:val="center"/>
          </w:tcPr>
          <w:p>
            <w:pPr>
              <w:pStyle w:val="15"/>
              <w:spacing w:line="400" w:lineRule="exact"/>
              <w:jc w:val="center"/>
              <w:rPr>
                <w:rFonts w:hint="eastAsia" w:hAnsi="宋体" w:cs="宋体"/>
                <w:color w:val="auto"/>
                <w:kern w:val="2"/>
                <w:szCs w:val="24"/>
                <w:highlight w:val="none"/>
              </w:rPr>
            </w:pPr>
            <w:r>
              <w:rPr>
                <w:rFonts w:hint="eastAsia" w:hAnsi="宋体" w:cs="宋体"/>
                <w:color w:val="auto"/>
                <w:kern w:val="2"/>
                <w:szCs w:val="24"/>
                <w:highlight w:val="none"/>
              </w:rPr>
              <w:t>招标文件要求</w:t>
            </w:r>
          </w:p>
        </w:tc>
        <w:tc>
          <w:tcPr>
            <w:tcW w:w="1201" w:type="dxa"/>
            <w:noWrap w:val="0"/>
            <w:vAlign w:val="center"/>
          </w:tcPr>
          <w:p>
            <w:pPr>
              <w:pStyle w:val="15"/>
              <w:spacing w:line="400" w:lineRule="exact"/>
              <w:jc w:val="center"/>
              <w:rPr>
                <w:rFonts w:hint="eastAsia" w:hAnsi="宋体" w:cs="宋体"/>
                <w:color w:val="auto"/>
                <w:kern w:val="2"/>
                <w:szCs w:val="24"/>
                <w:highlight w:val="none"/>
              </w:rPr>
            </w:pPr>
            <w:r>
              <w:rPr>
                <w:rFonts w:hint="eastAsia" w:hAnsi="宋体" w:cs="宋体"/>
                <w:color w:val="auto"/>
                <w:kern w:val="2"/>
                <w:szCs w:val="24"/>
                <w:highlight w:val="none"/>
              </w:rPr>
              <w:t>投标响应</w:t>
            </w:r>
          </w:p>
        </w:tc>
        <w:tc>
          <w:tcPr>
            <w:tcW w:w="1298" w:type="dxa"/>
            <w:noWrap w:val="0"/>
            <w:vAlign w:val="center"/>
          </w:tcPr>
          <w:p>
            <w:pPr>
              <w:pStyle w:val="15"/>
              <w:spacing w:line="400" w:lineRule="exact"/>
              <w:jc w:val="center"/>
              <w:rPr>
                <w:rFonts w:hint="eastAsia" w:hAnsi="宋体" w:cs="宋体"/>
                <w:color w:val="auto"/>
                <w:kern w:val="2"/>
                <w:szCs w:val="24"/>
                <w:highlight w:val="none"/>
              </w:rPr>
            </w:pPr>
            <w:r>
              <w:rPr>
                <w:rFonts w:hint="eastAsia" w:hAnsi="宋体" w:cs="宋体"/>
                <w:color w:val="auto"/>
                <w:kern w:val="2"/>
                <w:szCs w:val="24"/>
                <w:highlight w:val="none"/>
              </w:rPr>
              <w:t>响应/偏离</w:t>
            </w:r>
          </w:p>
        </w:tc>
        <w:tc>
          <w:tcPr>
            <w:tcW w:w="724" w:type="dxa"/>
            <w:noWrap w:val="0"/>
            <w:vAlign w:val="center"/>
          </w:tcPr>
          <w:p>
            <w:pPr>
              <w:pStyle w:val="15"/>
              <w:spacing w:line="400" w:lineRule="exact"/>
              <w:jc w:val="center"/>
              <w:rPr>
                <w:rFonts w:hint="eastAsia" w:hAnsi="宋体" w:cs="宋体"/>
                <w:color w:val="auto"/>
                <w:kern w:val="2"/>
                <w:szCs w:val="24"/>
                <w:highlight w:val="none"/>
              </w:rPr>
            </w:pPr>
            <w:r>
              <w:rPr>
                <w:rFonts w:hint="eastAsia" w:hAnsi="宋体" w:cs="宋体"/>
                <w:color w:val="auto"/>
                <w:kern w:val="2"/>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1</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内容是否与招标范围相同</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2</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投标工期是否满足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3</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4</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投标有效期是否满足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5</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要求的时间和方式提供投标担保</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6</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7</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是否符合工程项目的技术标准、规范和要求</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8</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9</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投标的组织结构中人员名单是否与资格预审时一致</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pPr>
              <w:pStyle w:val="15"/>
              <w:spacing w:line="600" w:lineRule="exact"/>
              <w:jc w:val="center"/>
              <w:rPr>
                <w:rFonts w:hint="default"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10</w:t>
            </w:r>
          </w:p>
        </w:tc>
        <w:tc>
          <w:tcPr>
            <w:tcW w:w="41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Cs w:val="24"/>
                <w:highlight w:val="none"/>
                <w:lang w:eastAsia="zh-CN"/>
              </w:rPr>
            </w:pPr>
            <w:r>
              <w:rPr>
                <w:rFonts w:hint="eastAsia" w:ascii="宋体" w:hAnsi="宋体" w:cs="宋体"/>
                <w:color w:val="auto"/>
                <w:szCs w:val="28"/>
                <w:highlight w:val="none"/>
                <w:lang w:val="en-US" w:eastAsia="zh-CN"/>
              </w:rPr>
              <w:t>企业</w:t>
            </w:r>
            <w:r>
              <w:rPr>
                <w:rFonts w:hint="eastAsia" w:ascii="宋体" w:hAnsi="宋体" w:cs="宋体"/>
                <w:color w:val="auto"/>
                <w:szCs w:val="28"/>
                <w:highlight w:val="none"/>
              </w:rPr>
              <w:t>人员是否有按施工要求到场及在施工期内不随意更</w:t>
            </w:r>
            <w:r>
              <w:rPr>
                <w:rFonts w:hint="eastAsia" w:ascii="宋体" w:hAnsi="宋体" w:eastAsia="宋体" w:cs="宋体"/>
                <w:color w:val="auto"/>
                <w:szCs w:val="28"/>
                <w:highlight w:val="none"/>
              </w:rPr>
              <w:t>换的诚信承诺</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bl>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t>注：1</w:t>
      </w:r>
      <w:bookmarkStart w:id="52" w:name="_Toc5645"/>
      <w:r>
        <w:rPr>
          <w:rFonts w:hint="eastAsia" w:ascii="宋体" w:hAnsi="宋体" w:cs="宋体"/>
          <w:color w:val="auto"/>
          <w:highlight w:val="none"/>
        </w:rPr>
        <w:t>、</w:t>
      </w:r>
      <w:r>
        <w:rPr>
          <w:rFonts w:hint="eastAsia" w:ascii="宋体" w:hAnsi="宋体" w:cs="宋体"/>
          <w:color w:val="auto"/>
          <w:highlight w:val="none"/>
          <w:lang w:eastAsia="zh-CN"/>
        </w:rPr>
        <w:t>参选人</w:t>
      </w:r>
      <w:r>
        <w:rPr>
          <w:rFonts w:hint="eastAsia" w:ascii="宋体" w:hAnsi="宋体" w:cs="宋体"/>
          <w:color w:val="auto"/>
          <w:highlight w:val="none"/>
        </w:rPr>
        <w:t>不按上述表格填写，所产生的一切后果由</w:t>
      </w:r>
      <w:r>
        <w:rPr>
          <w:rFonts w:hint="eastAsia" w:ascii="宋体" w:hAnsi="宋体" w:cs="宋体"/>
          <w:color w:val="auto"/>
          <w:highlight w:val="none"/>
          <w:lang w:eastAsia="zh-CN"/>
        </w:rPr>
        <w:t>参选人</w:t>
      </w:r>
      <w:r>
        <w:rPr>
          <w:rFonts w:hint="eastAsia" w:ascii="宋体" w:hAnsi="宋体" w:cs="宋体"/>
          <w:color w:val="auto"/>
          <w:highlight w:val="none"/>
        </w:rPr>
        <w:t>承担。</w:t>
      </w:r>
      <w:bookmarkEnd w:id="52"/>
    </w:p>
    <w:p>
      <w:pPr>
        <w:pStyle w:val="5"/>
        <w:spacing w:line="340" w:lineRule="exact"/>
        <w:jc w:val="left"/>
        <w:rPr>
          <w:rFonts w:hint="eastAsia"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Style w:val="15"/>
        <w:jc w:val="right"/>
        <w:rPr>
          <w:rFonts w:hint="eastAsia" w:hAnsi="宋体" w:cs="宋体"/>
          <w:color w:val="auto"/>
          <w:highlight w:val="none"/>
          <w:u w:val="single"/>
        </w:rPr>
      </w:pPr>
      <w:r>
        <w:rPr>
          <w:rFonts w:hint="eastAsia" w:ascii="宋体" w:hAnsi="宋体" w:eastAsia="宋体" w:cs="宋体"/>
          <w:color w:val="auto"/>
          <w:sz w:val="24"/>
          <w:highlight w:val="none"/>
        </w:rPr>
        <w:t>日期：   年    月    日</w:t>
      </w:r>
    </w:p>
    <w:p>
      <w:pPr>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br w:type="page"/>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、资格证明文件</w:t>
      </w:r>
      <w:bookmarkEnd w:id="53"/>
    </w:p>
    <w:p>
      <w:pPr>
        <w:pageBreakBefore w:val="0"/>
        <w:kinsoku/>
        <w:overflowPunct/>
        <w:topLinePunct w:val="0"/>
        <w:bidi w:val="0"/>
        <w:ind w:firstLine="480" w:firstLineChars="200"/>
        <w:jc w:val="left"/>
        <w:rPr>
          <w:rFonts w:hint="eastAsia" w:ascii="宋体" w:hAnsi="宋体" w:eastAsia="宋体" w:cs="宋体"/>
          <w:color w:val="auto"/>
          <w:sz w:val="24"/>
          <w:highlight w:val="none"/>
        </w:rPr>
      </w:pPr>
    </w:p>
    <w:p>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pPr>
        <w:pageBreakBefore w:val="0"/>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.1 具有独立承担民事责任的能力；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.2 具有良好的商业信誉和健全的财务会计制度；</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.3 具有履行合同所必需的设备和专业技术能力；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.4 有依法缴纳税收和社会保障资金的良好记录；</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 参加采购活动前三年内，在经营活动中没有重大违法记录；</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6.6.具有施工劳务资质或市政公用工程施工总承包三级及以上资质；</w:t>
      </w:r>
    </w:p>
    <w:p>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 法律、行政法规规定的其他条件：</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在该单位开标前六个月内任意两个月的社保凭证）</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本项目不接受联合体投标。</w:t>
      </w:r>
    </w:p>
    <w:p>
      <w:pPr>
        <w:pageBreakBefore w:val="0"/>
        <w:kinsoku/>
        <w:overflowPunct/>
        <w:topLinePunct w:val="0"/>
        <w:bidi w:val="0"/>
        <w:jc w:val="center"/>
        <w:rPr>
          <w:rFonts w:hint="eastAsia" w:ascii="宋体" w:hAnsi="宋体" w:eastAsia="宋体" w:cs="宋体"/>
          <w:color w:val="auto"/>
          <w:sz w:val="24"/>
          <w:highlight w:val="none"/>
        </w:rPr>
      </w:pPr>
    </w:p>
    <w:p>
      <w:pPr>
        <w:pStyle w:val="4"/>
        <w:pageBreakBefore w:val="0"/>
        <w:kinsoku/>
        <w:overflowPunct/>
        <w:topLinePunct w:val="0"/>
        <w:bidi w:val="0"/>
        <w:outlineLvl w:val="9"/>
        <w:rPr>
          <w:rFonts w:hint="eastAsia" w:ascii="宋体" w:hAnsi="宋体" w:eastAsia="宋体" w:cs="宋体"/>
          <w:color w:val="auto"/>
          <w:highlight w:val="none"/>
        </w:rPr>
        <w:sectPr>
          <w:headerReference r:id="rId5" w:type="default"/>
          <w:footerReference r:id="rId6" w:type="default"/>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.1具有独立承担民事责任的能力</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.2具有良好的商业信誉和健全的财务会计制度</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21</w:t>
      </w:r>
      <w:r>
        <w:rPr>
          <w:rFonts w:hint="eastAsia" w:ascii="宋体" w:hAnsi="宋体" w:eastAsia="宋体" w:cs="宋体"/>
          <w:b/>
          <w:bCs/>
          <w:color w:val="auto"/>
          <w:sz w:val="24"/>
          <w:highlight w:val="none"/>
        </w:rPr>
        <w:t>年（或202</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，原件备查。】</w:t>
      </w:r>
    </w:p>
    <w:p>
      <w:pPr>
        <w:pageBreakBefore w:val="0"/>
        <w:kinsoku/>
        <w:overflowPunct/>
        <w:topLinePunct w:val="0"/>
        <w:bidi w:val="0"/>
        <w:jc w:val="center"/>
        <w:rPr>
          <w:rFonts w:hint="eastAsia" w:ascii="宋体" w:hAnsi="宋体" w:eastAsia="宋体" w:cs="宋体"/>
          <w:color w:val="auto"/>
          <w:sz w:val="24"/>
          <w:highlight w:val="none"/>
        </w:rPr>
      </w:pPr>
    </w:p>
    <w:p>
      <w:pPr>
        <w:spacing w:before="94" w:line="224" w:lineRule="auto"/>
        <w:jc w:val="center"/>
        <w:rPr>
          <w:rFonts w:hint="eastAsia" w:ascii="宋体" w:hAnsi="宋体" w:eastAsia="宋体" w:cs="宋体"/>
          <w:b/>
          <w:bCs/>
          <w:color w:val="auto"/>
          <w:sz w:val="32"/>
          <w:szCs w:val="32"/>
          <w:highlight w:val="none"/>
        </w:rPr>
      </w:pPr>
    </w:p>
    <w:p>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pPr>
        <w:spacing w:line="286" w:lineRule="auto"/>
        <w:rPr>
          <w:rFonts w:hint="eastAsia" w:ascii="宋体" w:hAnsi="宋体" w:eastAsia="宋体" w:cs="宋体"/>
          <w:color w:val="auto"/>
          <w:sz w:val="24"/>
          <w:szCs w:val="24"/>
          <w:highlight w:val="none"/>
        </w:rPr>
      </w:pPr>
    </w:p>
    <w:p>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line="241"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（采购人）      </w:t>
      </w:r>
    </w:p>
    <w:p>
      <w:pPr>
        <w:pageBreakBefore w:val="0"/>
        <w:kinsoku/>
        <w:overflowPunct/>
        <w:topLinePunct w:val="0"/>
        <w:bidi w:val="0"/>
        <w:jc w:val="center"/>
        <w:rPr>
          <w:rFonts w:hint="eastAsia" w:ascii="宋体" w:hAnsi="宋体" w:eastAsia="宋体" w:cs="宋体"/>
          <w:color w:val="auto"/>
          <w:sz w:val="24"/>
          <w:highlight w:val="none"/>
          <w:u w:val="single"/>
        </w:rPr>
      </w:pP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.4有依法缴纳税收和社会保障资金的良好记录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，原件备查。</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spacing w:line="420" w:lineRule="exact"/>
        <w:ind w:firstLine="640" w:firstLineChars="200"/>
        <w:jc w:val="center"/>
        <w:rPr>
          <w:rFonts w:hint="eastAsia" w:ascii="宋体" w:hAnsi="宋体" w:eastAsia="宋体" w:cs="宋体"/>
          <w:b w:val="0"/>
          <w:bCs w:val="0"/>
          <w:color w:val="auto"/>
          <w:sz w:val="32"/>
          <w:szCs w:val="32"/>
          <w:highlight w:val="none"/>
        </w:rPr>
      </w:pPr>
    </w:p>
    <w:p>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具有依法缴纳税收和社会保障资金承诺函（格式）</w:t>
      </w:r>
    </w:p>
    <w:p>
      <w:pPr>
        <w:spacing w:line="287" w:lineRule="auto"/>
        <w:rPr>
          <w:rFonts w:hint="eastAsia" w:ascii="宋体" w:hAnsi="宋体" w:eastAsia="宋体" w:cs="宋体"/>
          <w:color w:val="auto"/>
          <w:sz w:val="24"/>
          <w:szCs w:val="24"/>
          <w:highlight w:val="none"/>
        </w:rPr>
      </w:pPr>
    </w:p>
    <w:p>
      <w:pPr>
        <w:spacing w:line="287" w:lineRule="auto"/>
        <w:rPr>
          <w:rFonts w:hint="eastAsia" w:ascii="宋体" w:hAnsi="宋体" w:eastAsia="宋体" w:cs="宋体"/>
          <w:color w:val="auto"/>
          <w:sz w:val="24"/>
          <w:szCs w:val="24"/>
          <w:highlight w:val="none"/>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.5参加采购活动前三年内，在经营活动中没有违法记录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 xml:space="preserve">： </w:t>
      </w:r>
    </w:p>
    <w:p>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Style w:val="46"/>
        <w:pageBreakBefore w:val="0"/>
        <w:kinsoku/>
        <w:overflowPunct/>
        <w:topLinePunct w:val="0"/>
        <w:bidi w:val="0"/>
        <w:rPr>
          <w:rFonts w:hint="eastAsia" w:ascii="宋体" w:hAnsi="宋体" w:eastAsia="宋体" w:cs="宋体"/>
          <w:color w:val="auto"/>
          <w:sz w:val="24"/>
          <w:szCs w:val="24"/>
          <w:highlight w:val="none"/>
          <w:lang w:val="en-GB"/>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6具有施工劳务资质或市政公用工程施工总承包三级及以上资质</w:t>
      </w:r>
      <w:r>
        <w:rPr>
          <w:rFonts w:hint="eastAsia" w:ascii="宋体" w:hAnsi="宋体" w:eastAsia="宋体" w:cs="宋体"/>
          <w:color w:val="auto"/>
          <w:sz w:val="28"/>
          <w:szCs w:val="28"/>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pPr>
        <w:rPr>
          <w:rFonts w:hint="eastAsia"/>
          <w:color w:val="auto"/>
          <w:highlight w:val="none"/>
        </w:rPr>
      </w:pPr>
      <w:r>
        <w:rPr>
          <w:rFonts w:hint="eastAsia"/>
          <w:color w:val="auto"/>
          <w:highlight w:val="none"/>
        </w:rPr>
        <w:br w:type="page"/>
      </w:r>
    </w:p>
    <w:p>
      <w:pPr>
        <w:rPr>
          <w:rFonts w:hint="eastAsia"/>
          <w:color w:val="auto"/>
          <w:highlight w:val="none"/>
        </w:rPr>
        <w:sectPr>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(提供法定代表人证书或法定代表人授权委托书、被授权人身份证复印件加盖公章，原件备查。）</w:t>
      </w: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个月内任意</w:t>
      </w: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个月的社保凭证）</w:t>
      </w:r>
    </w:p>
    <w:p>
      <w:pPr>
        <w:pageBreakBefore w:val="0"/>
        <w:kinsoku/>
        <w:overflowPunct/>
        <w:topLinePunct w:val="0"/>
        <w:bidi w:val="0"/>
        <w:jc w:val="both"/>
        <w:rPr>
          <w:rFonts w:hint="eastAsia" w:ascii="宋体" w:hAnsi="宋体" w:eastAsia="宋体" w:cs="宋体"/>
          <w:bCs/>
          <w:color w:val="auto"/>
          <w:sz w:val="24"/>
          <w:highlight w:val="none"/>
        </w:rPr>
      </w:pPr>
    </w:p>
    <w:p>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pPr>
        <w:pageBreakBefore w:val="0"/>
        <w:kinsoku/>
        <w:overflowPunct/>
        <w:topLinePunct w:val="0"/>
        <w:bidi w:val="0"/>
        <w:jc w:val="center"/>
        <w:rPr>
          <w:rFonts w:hint="eastAsia" w:ascii="宋体" w:hAnsi="宋体" w:eastAsia="宋体" w:cs="宋体"/>
          <w:bCs/>
          <w:color w:val="auto"/>
          <w:sz w:val="24"/>
          <w:highlight w:val="none"/>
        </w:rPr>
      </w:pPr>
    </w:p>
    <w:p>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pPr>
        <w:pageBreakBefore w:val="0"/>
        <w:kinsoku/>
        <w:overflowPunct/>
        <w:topLinePunct w:val="0"/>
        <w:bidi w:val="0"/>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pPr>
        <w:pageBreakBefore w:val="0"/>
        <w:kinsoku/>
        <w:overflowPunct/>
        <w:topLinePunct w:val="0"/>
        <w:bidi w:val="0"/>
        <w:jc w:val="center"/>
        <w:rPr>
          <w:rFonts w:hint="eastAsia" w:ascii="宋体" w:hAnsi="宋体" w:eastAsia="宋体" w:cs="宋体"/>
          <w:b/>
          <w:bCs/>
          <w:color w:val="auto"/>
          <w:sz w:val="24"/>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pageBreakBefore w:val="0"/>
        <w:kinsoku/>
        <w:overflowPunct/>
        <w:topLinePunct w:val="0"/>
        <w:bidi w:val="0"/>
        <w:spacing w:line="360" w:lineRule="auto"/>
        <w:jc w:val="left"/>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4" w:name="_Toc18221"/>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、参选人情况一览表</w:t>
      </w:r>
      <w:bookmarkEnd w:id="54"/>
    </w:p>
    <w:p>
      <w:pPr>
        <w:pageBreakBefore w:val="0"/>
        <w:kinsoku/>
        <w:overflowPunct/>
        <w:topLinePunct w:val="0"/>
        <w:bidi w:val="0"/>
        <w:jc w:val="left"/>
        <w:rPr>
          <w:rFonts w:hint="eastAsia" w:ascii="宋体" w:hAnsi="宋体" w:eastAsia="宋体" w:cs="宋体"/>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pPr>
              <w:pageBreakBefore w:val="0"/>
              <w:kinsoku/>
              <w:overflowPunct/>
              <w:topLinePunct w:val="0"/>
              <w:bidi w:val="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pPr>
              <w:pStyle w:val="24"/>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bl>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ind w:firstLine="241" w:firstLineChars="1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、关于资格的声明函</w:t>
      </w:r>
      <w:bookmarkEnd w:id="55"/>
      <w:r>
        <w:rPr>
          <w:rFonts w:hint="eastAsia" w:ascii="宋体" w:hAnsi="宋体" w:eastAsia="宋体" w:cs="宋体"/>
          <w:b/>
          <w:color w:val="auto"/>
          <w:sz w:val="28"/>
          <w:szCs w:val="28"/>
          <w:highlight w:val="none"/>
        </w:rPr>
        <w:t xml:space="preserve"> </w:t>
      </w: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pPr>
        <w:pageBreakBefore w:val="0"/>
        <w:widowControl/>
        <w:kinsoku/>
        <w:overflowPunct/>
        <w:topLinePunct w:val="0"/>
        <w:bidi w:val="0"/>
        <w:jc w:val="left"/>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w:t>
      </w:r>
      <w:bookmarkEnd w:id="56"/>
      <w:r>
        <w:rPr>
          <w:rFonts w:hint="eastAsia" w:ascii="宋体" w:hAnsi="宋体" w:eastAsia="宋体" w:cs="宋体"/>
          <w:b/>
          <w:color w:val="auto"/>
          <w:sz w:val="28"/>
          <w:szCs w:val="28"/>
          <w:highlight w:val="none"/>
          <w:lang w:val="en-US" w:eastAsia="zh-CN"/>
        </w:rPr>
        <w:t>施工组织设计</w:t>
      </w:r>
    </w:p>
    <w:p>
      <w:pPr>
        <w:pStyle w:val="15"/>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施工组织设计</w:t>
      </w:r>
      <w:r>
        <w:rPr>
          <w:rFonts w:hint="eastAsia" w:ascii="宋体" w:hAnsi="宋体" w:eastAsia="宋体" w:cs="宋体"/>
          <w:color w:val="auto"/>
          <w:sz w:val="24"/>
          <w:highlight w:val="none"/>
        </w:rPr>
        <w:t>；</w:t>
      </w:r>
    </w:p>
    <w:p>
      <w:pPr>
        <w:pStyle w:val="15"/>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2）投标人认为有必要提供的其他有关材料及相关评分材料。</w:t>
      </w:r>
    </w:p>
    <w:p>
      <w:pPr>
        <w:pStyle w:val="15"/>
        <w:pageBreakBefore w:val="0"/>
        <w:kinsoku/>
        <w:overflowPunct/>
        <w:topLinePunct w:val="0"/>
        <w:bidi w:val="0"/>
        <w:jc w:val="center"/>
        <w:rPr>
          <w:rFonts w:hint="eastAsia" w:ascii="宋体" w:hAnsi="宋体" w:eastAsia="宋体" w:cs="宋体"/>
          <w:color w:val="auto"/>
          <w:sz w:val="24"/>
          <w:highlight w:val="none"/>
        </w:rPr>
      </w:pPr>
    </w:p>
    <w:p>
      <w:pPr>
        <w:pStyle w:val="15"/>
        <w:pageBreakBefore w:val="0"/>
        <w:kinsoku/>
        <w:overflowPunct/>
        <w:topLinePunct w:val="0"/>
        <w:bidi w:val="0"/>
        <w:jc w:val="center"/>
        <w:rPr>
          <w:rFonts w:hint="eastAsia" w:ascii="宋体" w:hAnsi="宋体" w:eastAsia="宋体" w:cs="宋体"/>
          <w:color w:val="auto"/>
          <w:sz w:val="24"/>
          <w:highlight w:val="none"/>
        </w:rPr>
      </w:pPr>
    </w:p>
    <w:p>
      <w:pPr>
        <w:pStyle w:val="15"/>
        <w:pageBreakBefore w:val="0"/>
        <w:kinsoku/>
        <w:overflowPunct/>
        <w:topLinePunct w:val="0"/>
        <w:bidi w:val="0"/>
        <w:jc w:val="center"/>
        <w:rPr>
          <w:rFonts w:hint="eastAsia" w:ascii="宋体" w:hAnsi="宋体" w:eastAsia="宋体" w:cs="宋体"/>
          <w:color w:val="auto"/>
          <w:sz w:val="24"/>
          <w:highlight w:val="none"/>
        </w:rPr>
      </w:pPr>
    </w:p>
    <w:p>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b/>
          <w:color w:val="auto"/>
          <w:sz w:val="24"/>
          <w:highlight w:val="none"/>
        </w:rPr>
      </w:pPr>
    </w:p>
    <w:p>
      <w:pPr>
        <w:pageBreakBefore w:val="0"/>
        <w:kinsoku/>
        <w:overflowPunct/>
        <w:topLinePunct w:val="0"/>
        <w:bidi w:val="0"/>
        <w:jc w:val="center"/>
        <w:outlineLvl w:val="0"/>
        <w:rPr>
          <w:rFonts w:hint="eastAsia" w:ascii="宋体" w:hAnsi="宋体" w:eastAsia="宋体" w:cs="宋体"/>
          <w:b/>
          <w:color w:val="auto"/>
          <w:sz w:val="28"/>
          <w:szCs w:val="28"/>
          <w:highlight w:val="none"/>
        </w:rPr>
      </w:pPr>
      <w:bookmarkStart w:id="57" w:name="_Toc14911"/>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cs="宋体"/>
          <w:b/>
          <w:color w:val="auto"/>
          <w:sz w:val="28"/>
          <w:szCs w:val="28"/>
          <w:highlight w:val="none"/>
          <w:lang w:val="en-US" w:eastAsia="zh-CN"/>
        </w:rPr>
        <w:t>0</w:t>
      </w:r>
      <w:r>
        <w:rPr>
          <w:rFonts w:hint="eastAsia" w:ascii="宋体" w:hAnsi="宋体" w:eastAsia="宋体" w:cs="宋体"/>
          <w:b/>
          <w:color w:val="auto"/>
          <w:sz w:val="28"/>
          <w:szCs w:val="28"/>
          <w:highlight w:val="none"/>
        </w:rPr>
        <w:t>、</w:t>
      </w:r>
      <w:bookmarkEnd w:id="57"/>
      <w:r>
        <w:rPr>
          <w:rFonts w:hint="eastAsia" w:ascii="宋体" w:hAnsi="宋体" w:cs="宋体"/>
          <w:b/>
          <w:color w:val="auto"/>
          <w:sz w:val="28"/>
          <w:szCs w:val="28"/>
          <w:highlight w:val="none"/>
          <w:lang w:eastAsia="zh-CN"/>
        </w:rPr>
        <w:t>参选人</w:t>
      </w:r>
      <w:r>
        <w:rPr>
          <w:rFonts w:hint="eastAsia" w:ascii="宋体" w:hAnsi="宋体" w:eastAsia="宋体" w:cs="宋体"/>
          <w:b/>
          <w:color w:val="auto"/>
          <w:sz w:val="28"/>
          <w:szCs w:val="28"/>
          <w:highlight w:val="none"/>
        </w:rPr>
        <w:t>认为需要提供的其他材料</w:t>
      </w: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pPr>
        <w:pStyle w:val="11"/>
        <w:ind w:firstLine="0"/>
        <w:rPr>
          <w:rFonts w:hint="eastAsia" w:ascii="宋体" w:hAnsi="宋体" w:eastAsia="宋体" w:cs="宋体"/>
          <w:color w:val="auto"/>
          <w:sz w:val="24"/>
          <w:szCs w:val="24"/>
          <w:highlight w:val="none"/>
        </w:rPr>
      </w:pPr>
    </w:p>
    <w:p>
      <w:pPr>
        <w:pStyle w:val="11"/>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一、施工组织设计评审(分)方法的确定</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评标委员会应当按招标文件约定的评标办法，选择下列方式之一评审施工组织设计：</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初步和详细评审得分之和为该投标人的施工组织设计得分（共计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 分）。具体量化计分方式如下：</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1、初步评审（</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分；无严重技术性错误不得低于 </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二、施工组织设计初步评审标准（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（一）检查技术标文件内容的完整性（</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1、检查技术标文件内容是否齐全 </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齐全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分；基本齐全 0.5 分；不齐全 0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投标文件的响应性内容是否符合招标文件要求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分基本符合 0.5 分；不符合 0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（二）技术标文件施工组织设计的编制水平(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编制水平优秀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分;符合招标文件要求 1.5 分;有细微偏差 0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三、施工组织设计详细评审标准(</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评标委员会应当按施工组织设计计分标准，对技术标的施工组织设计进行详细评审，为方便评审，将施工组织设计详细评审（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分）细分为 10 个部分，并分解量化设定为 100 分，各评委依据施工组织设计的优劣评分之和去掉一个最高得分和一个最低得分的平均值乘 </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％,即为该投标人详细评审的实际得分。投标人施工组织设计编写符合国家工程建设标准强制性条文或者无严重技术性错误的，最低实际得分不能低于（1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分），否则，该评委的计分作废。对有严重技术性错误的，扣分不受限制。有违反国家工程建设标准强制性条文的，为重大偏差，其投标予以否决。具体评审标准如下：</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（一）施工管理目标（5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1、质量控制管理目标及保证措施（1.5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2、工期控制管理目标及保证措施（1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3、安全生产控制管理目标及保证措施（1.5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4、文明施工现场控制管理目标及保证措施（1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（二）施工组织部署（1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1、有完善的施工、技术管理措施（2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2、有组织机构，管理人员配置合理，管理人员数量与工程规模相适应（</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3、有详细的、工种配置合理齐全的用工和人员使用计划，（人员</w:t>
      </w:r>
      <w:r>
        <w:rPr>
          <w:rFonts w:hint="eastAsia" w:ascii="宋体" w:hAnsi="宋体" w:eastAsia="宋体" w:cs="宋体"/>
          <w:color w:val="auto"/>
          <w:sz w:val="24"/>
          <w:szCs w:val="24"/>
          <w:highlight w:val="none"/>
          <w:lang w:val="en-US" w:eastAsia="zh-CN"/>
        </w:rPr>
        <w:t>身份证</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4、自我评价（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5、施工平面布置考虑周到、布局合理、切实可行（</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6、施工准备与施工资源计划配置合理（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（三）施工技术措施（</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分）（专业工程单项招标时专业施工技术措施分值调整到</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1、施工测量：工程测量定位，建筑物轴线、标高、水平度和垂直度控制，沉降观测与控制（2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2、地下工程：土方工程，桩基、基础、地下室工程，降排水工程，施工技术措施、安全措施及质量控制（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3、钢筋工程：原材料进场检验，钢筋制作、连接、绑扎， 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4、混凝土工程：混凝土配合比、搅拌、浇筑、养护，试块留置、施工缝留设与处理等，施工技术措施、安全措施及质量控制（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5、其它工程：砖砌体，防水工程，脚手架工程，水、电、暖、消防、设备安装等工程，施工技术措施、安全措施及质量控制（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6、装饰工程：地面和墙面的块料镶贴及干挂，铝合金门窗安装，玻璃幕墙，木装饰及制作，天棚及吊顶装饰，涂料粉刷，高档器具、灯具安装，施工技术措施、安全措施及质量控制（3 分）；</w:t>
      </w:r>
    </w:p>
    <w:p>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7、新产品、新技术、新工艺、新材料的应用，是否符合有关规定（5 分）；</w:t>
      </w:r>
    </w:p>
    <w:p>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8、是否有满足工程特殊技术需要的施工方法和施工技术措施（5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9、是否建立健全了图纸审查、技术交底，</w:t>
      </w:r>
      <w:r>
        <w:rPr>
          <w:rFonts w:hint="eastAsia" w:ascii="宋体" w:hAnsi="宋体" w:eastAsia="宋体" w:cs="宋体"/>
          <w:color w:val="auto"/>
          <w:sz w:val="24"/>
          <w:szCs w:val="24"/>
          <w:highlight w:val="none"/>
          <w:lang w:val="en-US" w:eastAsia="zh-CN"/>
        </w:rPr>
        <w:t>木</w:t>
      </w:r>
      <w:r>
        <w:rPr>
          <w:rFonts w:hint="eastAsia" w:ascii="宋体" w:hAnsi="宋体" w:eastAsia="宋体" w:cs="宋体"/>
          <w:color w:val="auto"/>
          <w:sz w:val="24"/>
          <w:szCs w:val="24"/>
          <w:highlight w:val="none"/>
        </w:rPr>
        <w:t>材料检验，工程质量检查和验收，技术档案等一整套技术管理制度（3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（四）施工质量目标体系及保证措施（20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1、施工项目质量保证目标（或创优良工程奖目标）明确（2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2、施工质量保证体系和质量检查监督机构健全，并有有效的控制措施和手段（2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3、材料进场质量保证和二次检验制度落实（2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4、冬雨季施工措施明确（2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5、各分部分项工程质量控制目标明确（2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6、有工序质量控制措施和自检、自控措施（2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7、对严格执行国家有关施工规范、标准有明确要求（2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8、有施工机械控制措施（2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9、有成品保护措施（2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10、有工程质量回访和保修制度（2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（五）文明施工和安全生产体系与防护措施（15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1、建立了施工安全保障体系，施工现场管理人员安全生产职责明确（2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2、施工安全保证目标或创文明工地目标明确，针对工程特点、周边环境和施工工艺，确定危险源并制定具体的防护措施;“四口，五临边”的防护有详细的大样图（3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3、施工现场临时用电、基坑支护与降水工程、土方开挖工程、模板工程、起重吊装工程、脚手架工程、拆除、爆破工程和其它危险性较大的工程应编制专项施工方案（3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4、下列专项施工方案应附具体计算书和安全验算结果（5 分，每项 1 分；没有下列专项施工方案的该专项计 0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地下室三层以上（含三层）、开挖深度超过 5m、深度未超过 5m 但地质情况和周围环境较复杂的工程；</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岩质边坡超过 30m，土质边坡超过 15m 的边坡；</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8m，或跨度超过 18m，或施工总荷载大于10KN/m2，或集中线荷载大于 15 KN/m 的模板支撑系统；</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地下暗挖工程；</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50m 的脚手架、卸料台、悬挑式脚手架工程及转运平台；</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5、临时设施、现场道路、材料堆放、住宿、食堂等应符合有关文明施工、健康卫生的规定（2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（六）环境保护管理体系与保证措施（3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1、建立了环境保护保障体系，施工现场管理人员环境保护职责明确（2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2、创文明施工工地目标明确，针对工程特点和周边环境，确定重点，制定具体的环境保护措施（1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（七）施工进度计划及工期保证措施（7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1、施工进度计划及工期保证措施（2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2、有具体的施工进度网络图，标注各专业工程进度的横道图线准确、清楚、合理，符合实际施工进度要求，各专业工程施工配合明确、科学（3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3、施工总进度计划是否符合招标文件规定的工期要求（2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（八）施工机械配置（6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1、施工机械配置合理、先进且满足安全技术规范和施工进度需要（2）；</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2、落实了施工机械、设备的使用、维护、保养制度（2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3、工程中所有使用的机械、设备计划落实，来源明确，并有明细表（2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（九）施工合理化建议和降低成本措施（6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1、施工合理化建议有针对性且满足施工工程需要（2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2、降低成本措施切实可行（2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3、施工合理化建议有采纳价值且有社会和经济效益（2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（十）工程质量通病防治措施（5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1、有针对性地提出了工程可能出现质量通病部位和处理对策（1.5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2、成立了消除质量通病的机构，并配备了人员（1.5 分）；</w:t>
      </w:r>
    </w:p>
    <w:p>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r>
        <w:rPr>
          <w:rFonts w:hint="eastAsia" w:ascii="宋体" w:hAnsi="宋体" w:eastAsia="宋体" w:cs="宋体"/>
          <w:color w:val="auto"/>
          <w:sz w:val="24"/>
          <w:szCs w:val="24"/>
          <w:highlight w:val="none"/>
        </w:rPr>
        <w:t>3、制定了消除空、裂、渗、漏、堵、粗、污等质量通病的措施和施工工艺（2 分）</w:t>
      </w: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cLdu98BAAC/AwAADgAAAAAA&#10;AAABACAAAAAeAQAAZHJzL2Uyb0RvYy54bWxQSwUGAAAAAAYABgBZAQAAb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Oz2d4BAAC/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m5ovOXPC0sDP37+df/w6//zK&#10;VtdJn97HitIePCXi8AYG2prZH8mZaA9tsOlPhBjFSd3TRV01IJPp0mq5WpUUkhSbD4RfPF73IeK9&#10;AsuSUfNA48uqiuO7iGPqnJKqObjTxuQRGveXgzCTp0i9jz0mC4fdMBHaQXMiPvQOqE4H4QtnPW1B&#10;zR0tPWfmrSOR08LMRpiN3WwIJ+lizZGz0bzFcbEOPuh9l1ctNRX96wN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0I7PZ3gEAAL8DAAAOAAAAAAAA&#10;AAEAIAAAAB4BAABkcnMvZTJvRG9jLnhtbFBLBQYAAAAABgAGAFkBAABu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5A167C99"/>
    <w:multiLevelType w:val="singleLevel"/>
    <w:tmpl w:val="5A167C99"/>
    <w:lvl w:ilvl="0" w:tentative="0">
      <w:start w:val="2"/>
      <w:numFmt w:val="chineseCounting"/>
      <w:suff w:val="nothing"/>
      <w:lvlText w:val="%1、"/>
      <w:lvlJc w:val="left"/>
      <w:rPr>
        <w:rFonts w:hint="eastAsia"/>
      </w:rPr>
    </w:lvl>
  </w:abstractNum>
  <w:abstractNum w:abstractNumId="4">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C35E11"/>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6C56D4"/>
    <w:rsid w:val="078A2E29"/>
    <w:rsid w:val="079E317F"/>
    <w:rsid w:val="07DC63DC"/>
    <w:rsid w:val="081D3768"/>
    <w:rsid w:val="08D40E04"/>
    <w:rsid w:val="08F14E86"/>
    <w:rsid w:val="08FD2D02"/>
    <w:rsid w:val="092A6F91"/>
    <w:rsid w:val="094840A2"/>
    <w:rsid w:val="09F91840"/>
    <w:rsid w:val="09FF67ED"/>
    <w:rsid w:val="0A685934"/>
    <w:rsid w:val="0A8C4462"/>
    <w:rsid w:val="0AA75373"/>
    <w:rsid w:val="0AF73FD4"/>
    <w:rsid w:val="0B05031C"/>
    <w:rsid w:val="0B560A80"/>
    <w:rsid w:val="0BDE4F88"/>
    <w:rsid w:val="0BF2247E"/>
    <w:rsid w:val="0C3D67FB"/>
    <w:rsid w:val="0C762CD4"/>
    <w:rsid w:val="0C86753C"/>
    <w:rsid w:val="0C8E2713"/>
    <w:rsid w:val="0CB96085"/>
    <w:rsid w:val="0CCC0884"/>
    <w:rsid w:val="0CF63E15"/>
    <w:rsid w:val="0CFB55B7"/>
    <w:rsid w:val="0D073DD1"/>
    <w:rsid w:val="0D735465"/>
    <w:rsid w:val="0D8670BE"/>
    <w:rsid w:val="0D8D6983"/>
    <w:rsid w:val="0DF708E4"/>
    <w:rsid w:val="0E0C3E24"/>
    <w:rsid w:val="0E5C3669"/>
    <w:rsid w:val="0E6869AA"/>
    <w:rsid w:val="0E6C0EED"/>
    <w:rsid w:val="0E9E6512"/>
    <w:rsid w:val="0EB2020F"/>
    <w:rsid w:val="0EB977F0"/>
    <w:rsid w:val="0ED34CF7"/>
    <w:rsid w:val="0EEC7BA6"/>
    <w:rsid w:val="0EFD4D2D"/>
    <w:rsid w:val="0F1F6CBB"/>
    <w:rsid w:val="0F6159A2"/>
    <w:rsid w:val="0FE61EC6"/>
    <w:rsid w:val="101F5E42"/>
    <w:rsid w:val="10370789"/>
    <w:rsid w:val="115C3E6F"/>
    <w:rsid w:val="11BA18B5"/>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5745AC0"/>
    <w:rsid w:val="157502AF"/>
    <w:rsid w:val="158005E4"/>
    <w:rsid w:val="15AD693F"/>
    <w:rsid w:val="15AE7646"/>
    <w:rsid w:val="15CA1D79"/>
    <w:rsid w:val="15D527D2"/>
    <w:rsid w:val="16605DED"/>
    <w:rsid w:val="16610152"/>
    <w:rsid w:val="16B66298"/>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90381F"/>
    <w:rsid w:val="18ED00D4"/>
    <w:rsid w:val="191948E9"/>
    <w:rsid w:val="192835A8"/>
    <w:rsid w:val="19670574"/>
    <w:rsid w:val="1A8A6543"/>
    <w:rsid w:val="1A9759C4"/>
    <w:rsid w:val="1AA17AB6"/>
    <w:rsid w:val="1AC67B91"/>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D276E"/>
    <w:rsid w:val="25AB06FB"/>
    <w:rsid w:val="25AB17E9"/>
    <w:rsid w:val="25B5528E"/>
    <w:rsid w:val="25BD003C"/>
    <w:rsid w:val="25D915E7"/>
    <w:rsid w:val="25E1345C"/>
    <w:rsid w:val="25EC3819"/>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D755F7"/>
    <w:rsid w:val="2AE73D3A"/>
    <w:rsid w:val="2AFA40C1"/>
    <w:rsid w:val="2B4A64A6"/>
    <w:rsid w:val="2BA07B5C"/>
    <w:rsid w:val="2BD41C66"/>
    <w:rsid w:val="2C0509E9"/>
    <w:rsid w:val="2C387018"/>
    <w:rsid w:val="2C444745"/>
    <w:rsid w:val="2C9D6CDB"/>
    <w:rsid w:val="2CC71DF2"/>
    <w:rsid w:val="2D1D71A5"/>
    <w:rsid w:val="2D4805D8"/>
    <w:rsid w:val="2D4C1195"/>
    <w:rsid w:val="2D866137"/>
    <w:rsid w:val="2DE23F54"/>
    <w:rsid w:val="2DF16F3B"/>
    <w:rsid w:val="2E0D090C"/>
    <w:rsid w:val="2E66398B"/>
    <w:rsid w:val="2E7740E9"/>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822998"/>
    <w:rsid w:val="32A01E64"/>
    <w:rsid w:val="32AB77DD"/>
    <w:rsid w:val="32C52348"/>
    <w:rsid w:val="32FA0324"/>
    <w:rsid w:val="33861E21"/>
    <w:rsid w:val="338813BB"/>
    <w:rsid w:val="33C7324E"/>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7407C3D"/>
    <w:rsid w:val="37931D11"/>
    <w:rsid w:val="37AB47ED"/>
    <w:rsid w:val="37C5058F"/>
    <w:rsid w:val="382C4A0B"/>
    <w:rsid w:val="3834062E"/>
    <w:rsid w:val="383B1F9E"/>
    <w:rsid w:val="384A30E3"/>
    <w:rsid w:val="38D93765"/>
    <w:rsid w:val="38D96215"/>
    <w:rsid w:val="392A3529"/>
    <w:rsid w:val="39856509"/>
    <w:rsid w:val="39966CA5"/>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8E2733"/>
    <w:rsid w:val="3EA92FC7"/>
    <w:rsid w:val="3EBA2645"/>
    <w:rsid w:val="3ECC05DE"/>
    <w:rsid w:val="3F024E9A"/>
    <w:rsid w:val="3F7A5F57"/>
    <w:rsid w:val="3FD9190E"/>
    <w:rsid w:val="40214084"/>
    <w:rsid w:val="40967D84"/>
    <w:rsid w:val="409A12D2"/>
    <w:rsid w:val="40F65292"/>
    <w:rsid w:val="411B0E77"/>
    <w:rsid w:val="41554B20"/>
    <w:rsid w:val="419B675D"/>
    <w:rsid w:val="41C44089"/>
    <w:rsid w:val="41D97952"/>
    <w:rsid w:val="423B508F"/>
    <w:rsid w:val="425744CF"/>
    <w:rsid w:val="42857177"/>
    <w:rsid w:val="42BA638F"/>
    <w:rsid w:val="42EF4CF2"/>
    <w:rsid w:val="431449CD"/>
    <w:rsid w:val="43364990"/>
    <w:rsid w:val="43735EF2"/>
    <w:rsid w:val="44384737"/>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F50A94"/>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A28F0"/>
    <w:rsid w:val="519C6593"/>
    <w:rsid w:val="51AD1A71"/>
    <w:rsid w:val="51C92E73"/>
    <w:rsid w:val="51DF25F2"/>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7B6877"/>
    <w:rsid w:val="55E7771A"/>
    <w:rsid w:val="564577AB"/>
    <w:rsid w:val="56DA58DC"/>
    <w:rsid w:val="56F75715"/>
    <w:rsid w:val="56FA4DB3"/>
    <w:rsid w:val="575925A3"/>
    <w:rsid w:val="576F0018"/>
    <w:rsid w:val="579A5688"/>
    <w:rsid w:val="57C971CB"/>
    <w:rsid w:val="57D4652D"/>
    <w:rsid w:val="57E74053"/>
    <w:rsid w:val="581E3DE2"/>
    <w:rsid w:val="58263B97"/>
    <w:rsid w:val="582901C7"/>
    <w:rsid w:val="58364D6D"/>
    <w:rsid w:val="58475B00"/>
    <w:rsid w:val="58981BE4"/>
    <w:rsid w:val="589F14D0"/>
    <w:rsid w:val="58B4208E"/>
    <w:rsid w:val="58E930DF"/>
    <w:rsid w:val="5972035B"/>
    <w:rsid w:val="598F49A2"/>
    <w:rsid w:val="59FF6B39"/>
    <w:rsid w:val="5A660D4E"/>
    <w:rsid w:val="5A817B0D"/>
    <w:rsid w:val="5A8262B5"/>
    <w:rsid w:val="5AA24261"/>
    <w:rsid w:val="5AAB323C"/>
    <w:rsid w:val="5B3809A4"/>
    <w:rsid w:val="5B661D3E"/>
    <w:rsid w:val="5C084ED5"/>
    <w:rsid w:val="5C150452"/>
    <w:rsid w:val="5C1949F7"/>
    <w:rsid w:val="5C24022B"/>
    <w:rsid w:val="5C963A8A"/>
    <w:rsid w:val="5CE60BF5"/>
    <w:rsid w:val="5CEC1BA3"/>
    <w:rsid w:val="5CFA64BB"/>
    <w:rsid w:val="5D4A3EFC"/>
    <w:rsid w:val="5D4A502D"/>
    <w:rsid w:val="5D4E769C"/>
    <w:rsid w:val="5DD54E8B"/>
    <w:rsid w:val="5DEB2B8A"/>
    <w:rsid w:val="5DF9473C"/>
    <w:rsid w:val="5E0043EB"/>
    <w:rsid w:val="5E6463FD"/>
    <w:rsid w:val="5E6801F6"/>
    <w:rsid w:val="5E8D55E7"/>
    <w:rsid w:val="5EFC35C0"/>
    <w:rsid w:val="5F25283E"/>
    <w:rsid w:val="5F443548"/>
    <w:rsid w:val="5F4A2384"/>
    <w:rsid w:val="5FA32F55"/>
    <w:rsid w:val="5FE82E15"/>
    <w:rsid w:val="60197873"/>
    <w:rsid w:val="603658A5"/>
    <w:rsid w:val="607B3293"/>
    <w:rsid w:val="608C47AD"/>
    <w:rsid w:val="61072EB4"/>
    <w:rsid w:val="613E3492"/>
    <w:rsid w:val="61557B69"/>
    <w:rsid w:val="61D31C75"/>
    <w:rsid w:val="61EF3D70"/>
    <w:rsid w:val="62347CE8"/>
    <w:rsid w:val="62516C98"/>
    <w:rsid w:val="62AB7DAA"/>
    <w:rsid w:val="62BE3C02"/>
    <w:rsid w:val="62FC67BF"/>
    <w:rsid w:val="632D705A"/>
    <w:rsid w:val="64044FBC"/>
    <w:rsid w:val="6435364B"/>
    <w:rsid w:val="643979E4"/>
    <w:rsid w:val="643B4CD0"/>
    <w:rsid w:val="64400C58"/>
    <w:rsid w:val="64417910"/>
    <w:rsid w:val="646E2237"/>
    <w:rsid w:val="64756074"/>
    <w:rsid w:val="649C2CAC"/>
    <w:rsid w:val="64E20C7C"/>
    <w:rsid w:val="65190998"/>
    <w:rsid w:val="654815BA"/>
    <w:rsid w:val="655F4A2A"/>
    <w:rsid w:val="6581707A"/>
    <w:rsid w:val="65D81772"/>
    <w:rsid w:val="66150F73"/>
    <w:rsid w:val="661E4002"/>
    <w:rsid w:val="663B3B08"/>
    <w:rsid w:val="66D962DF"/>
    <w:rsid w:val="672410C5"/>
    <w:rsid w:val="673B1C5F"/>
    <w:rsid w:val="67A05FCC"/>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5221D1"/>
    <w:rsid w:val="6C601B62"/>
    <w:rsid w:val="6C92548F"/>
    <w:rsid w:val="6C955D99"/>
    <w:rsid w:val="6CAE1BE4"/>
    <w:rsid w:val="6CDB3535"/>
    <w:rsid w:val="6CFC3CA5"/>
    <w:rsid w:val="6D535020"/>
    <w:rsid w:val="6D8048D6"/>
    <w:rsid w:val="6D976CB9"/>
    <w:rsid w:val="6DB72303"/>
    <w:rsid w:val="6DCA78FF"/>
    <w:rsid w:val="6E241040"/>
    <w:rsid w:val="6E7A0843"/>
    <w:rsid w:val="6E932525"/>
    <w:rsid w:val="6EC4352D"/>
    <w:rsid w:val="6EE52005"/>
    <w:rsid w:val="6F6F4ADE"/>
    <w:rsid w:val="6F8B0BCB"/>
    <w:rsid w:val="6F996FEA"/>
    <w:rsid w:val="70404269"/>
    <w:rsid w:val="706E420D"/>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87E85"/>
    <w:rsid w:val="77EE4EDB"/>
    <w:rsid w:val="77FF1415"/>
    <w:rsid w:val="780F4771"/>
    <w:rsid w:val="783E56FD"/>
    <w:rsid w:val="7840538D"/>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42</Pages>
  <Words>15091</Words>
  <Characters>16826</Characters>
  <Lines>190</Lines>
  <Paragraphs>53</Paragraphs>
  <TotalTime>79</TotalTime>
  <ScaleCrop>false</ScaleCrop>
  <LinksUpToDate>false</LinksUpToDate>
  <CharactersWithSpaces>18665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Double life</cp:lastModifiedBy>
  <cp:lastPrinted>2022-08-18T00:53:00Z</cp:lastPrinted>
  <dcterms:modified xsi:type="dcterms:W3CDTF">2023-06-28T08:09:15Z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500C2D6D850B43A3A248F19DC22CD1D2_13</vt:lpwstr>
  </property>
</Properties>
</file>