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lang w:eastAsia="zh-CN"/>
        </w:rPr>
        <w:t>会展路、世贸路周边非机动车棚项目-主材采购</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eastAsia="宋体" w:cs="宋体"/>
          <w:color w:val="auto"/>
          <w:sz w:val="30"/>
          <w:szCs w:val="30"/>
          <w:highlight w:val="none"/>
          <w:lang w:eastAsia="zh-CN"/>
        </w:rPr>
        <w:t>JXFZ20230615</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6"/>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六</w:t>
      </w:r>
      <w:r>
        <w:rPr>
          <w:rFonts w:hint="eastAsia" w:ascii="宋体" w:hAnsi="宋体" w:eastAsia="宋体" w:cs="宋体"/>
          <w:b/>
          <w:color w:val="auto"/>
          <w:sz w:val="36"/>
          <w:highlight w:val="none"/>
        </w:rPr>
        <w:t>月</w:t>
      </w:r>
    </w:p>
    <w:p>
      <w:pPr>
        <w:pStyle w:val="10"/>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6"/>
        <w:pageBreakBefore w:val="0"/>
        <w:kinsoku/>
        <w:overflowPunct/>
        <w:topLinePunct w:val="0"/>
        <w:bidi w:val="0"/>
        <w:rPr>
          <w:rFonts w:hint="eastAsia" w:ascii="宋体" w:hAnsi="宋体" w:eastAsia="宋体" w:cs="宋体"/>
          <w:color w:val="auto"/>
          <w:highlight w:val="none"/>
        </w:rPr>
      </w:pP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29"/>
          <w:rFonts w:hint="eastAsia" w:ascii="宋体" w:hAnsi="宋体" w:eastAsia="宋体" w:cs="宋体"/>
          <w:b/>
          <w:color w:val="auto"/>
          <w:sz w:val="31"/>
          <w:szCs w:val="31"/>
          <w:highlight w:val="none"/>
        </w:rPr>
      </w:pPr>
      <w:bookmarkStart w:id="0" w:name="_Toc639"/>
      <w:r>
        <w:rPr>
          <w:rStyle w:val="29"/>
          <w:rFonts w:hint="eastAsia" w:ascii="宋体" w:hAnsi="宋体" w:eastAsia="宋体" w:cs="宋体"/>
          <w:b/>
          <w:color w:val="auto"/>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会展路、世贸路周边非机动车棚项目-主材采购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JXFZ20230615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JXFZ20230615</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会展路、世贸路周边非机动车棚项目-主材采购</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541547.12</w:t>
            </w:r>
            <w:r>
              <w:rPr>
                <w:rFonts w:hint="eastAsia" w:ascii="宋体" w:hAnsi="宋体" w:eastAsia="宋体" w:cs="宋体"/>
                <w:color w:val="auto"/>
                <w:kern w:val="0"/>
                <w:sz w:val="24"/>
                <w:highlight w:val="none"/>
                <w:lang w:val="en-US" w:eastAsia="zh-CN"/>
              </w:rPr>
              <w:t>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法定代表人证明资料）原件及被授权人（或法定代表人）身份证复印件；提供委托代理人在该单位标前六个月内任意两个月的社保凭证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sz w:val="24"/>
          <w:highlight w:val="none"/>
          <w:lang w:eastAsia="zh-CN"/>
        </w:rPr>
        <w:t>南昌市红谷滩区丰和中大道1318号南昌建设大厦8楼</w:t>
      </w:r>
      <w:r>
        <w:rPr>
          <w:rFonts w:hint="eastAsia" w:ascii="宋体" w:hAnsi="宋体" w:eastAsia="宋体" w:cs="宋体"/>
          <w:color w:val="auto"/>
          <w:kern w:val="0"/>
          <w:sz w:val="24"/>
          <w:highlight w:val="none"/>
        </w:rPr>
        <w:t>。</w:t>
      </w:r>
    </w:p>
    <w:p>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6"/>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会展路、世贸路周边非机动车棚项目-主材采购</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人民币叁仟叁佰壹拾柒元整（￥3317.00）</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6"/>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24678925"/>
      <w:bookmarkStart w:id="3" w:name="_Toc147282124"/>
      <w:bookmarkStart w:id="4" w:name="_Toc31761"/>
      <w:bookmarkStart w:id="5" w:name="_Toc17175"/>
      <w:bookmarkStart w:id="6" w:name="_Toc377982317"/>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 xml:space="preserve">541547.12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6"/>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6"/>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2、参选人在满足比选文件中售后服务要求的维修响应的基础上，参选人承诺接到招标人通知后十二小时内须做出响应，二十四小时内免费给予技术支持或到达现场维修排除故障得 2 分。 </w:t>
            </w:r>
          </w:p>
          <w:p>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pStyle w:val="2"/>
              <w:rPr>
                <w:rFonts w:hint="eastAsia" w:ascii="宋体" w:hAnsi="宋体" w:eastAsia="宋体" w:cs="宋体"/>
                <w:color w:val="auto"/>
                <w:highlight w:val="none"/>
              </w:rPr>
            </w:pPr>
          </w:p>
          <w:p>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1194" w:type="dxa"/>
            <w:vMerge w:val="continue"/>
            <w:noWrap w:val="0"/>
            <w:vAlign w:val="top"/>
          </w:tcPr>
          <w:p>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p>
        </w:tc>
      </w:tr>
    </w:tbl>
    <w:p>
      <w:pPr>
        <w:pStyle w:val="9"/>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tbl>
      <w:tblPr>
        <w:tblStyle w:val="26"/>
        <w:tblW w:w="16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108"/>
        <w:gridCol w:w="1544"/>
        <w:gridCol w:w="612"/>
        <w:gridCol w:w="684"/>
        <w:gridCol w:w="976"/>
        <w:gridCol w:w="757"/>
        <w:gridCol w:w="1036"/>
        <w:gridCol w:w="2008"/>
        <w:gridCol w:w="7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7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2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   （综合）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Q345B，钢柱300*300*100*6mm*6mm、钢梁250*150*100*6mm*6mm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4090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7934.60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会展路、世贸路车棚钢柱钢梁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85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中厚钢板（综合）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15.19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4136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62825.84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会展路、世贸路车棚钢柱钢梁及其余钢构件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2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焊接钢管（综合）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40*40*2mm厚镀锌方管、100*50*6mm厚镀锌方管、φ89镀锌管6mm厚横梁</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3259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38293.25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会展路、世贸路车棚其余钢构件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5659.82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29997.05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会展路、世贸路车棚膜结构屋面及人行道块料铺设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9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膜结构屋面</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3mmPVDF进口膜，1100克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1358.46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39395.34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会展路、世贸路车棚膜结构屋面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聚氨酯磁漆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485.50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14565.00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会展路、世贸路车棚钢构件涂刷防腐漆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聚氨酯底漆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302.54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18152.40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会展路、世贸路车棚钢构件涂刷防腐漆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环氧富锌底漆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白色亮面油漆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1568.64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会展路、世贸路车棚钢柱、钢梁及其他钢构件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无光调和漆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白色亮面油漆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会展路、世贸路车棚膜结构屋面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不锈钢井盖</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900*900*80mm，内置φ12mm螺纹钢8根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563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重型铸铁井盖</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1200*1200mm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会展路车棚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混凝土路沿石</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10*25cm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市委停车场路沿石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6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大理石路沿石</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1000*250*120mm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19520.00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会展路、世贸路车棚路沿石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91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200*100*50mm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1305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52200.00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会展路、世贸路车棚人行道块料铺设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50" w:type="dxa"/>
          <w:trHeight w:val="85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生态陶瓷透水砖</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100*200*60mm</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258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41796.00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市委停车场生态陶瓷透水砖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85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级配碎石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市委停车场生态陶瓷透水砖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9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C20，非泵送，1-3碎石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168300.00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会展路、世贸路车棚人行道块料铺设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0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C25，非泵送，1-3碎石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469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23450.00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会展路、世贸路车棚独立基础、树池砌筑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250" w:type="dxa"/>
          <w:trHeight w:val="1002" w:hRule="atLeast"/>
        </w:trPr>
        <w:tc>
          <w:tcPr>
            <w:tcW w:w="63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总价（元）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541547.12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16635"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3、暂估价材料结算据实调整。</w:t>
            </w:r>
          </w:p>
        </w:tc>
      </w:tr>
    </w:tbl>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p>
      <w:pPr>
        <w:pStyle w:val="2"/>
        <w:rPr>
          <w:rFonts w:hint="eastAsia"/>
          <w:lang w:val="en-US" w:eastAsia="zh-CN"/>
        </w:rPr>
      </w:pPr>
    </w:p>
    <w:tbl>
      <w:tblPr>
        <w:tblStyle w:val="26"/>
        <w:tblW w:w="485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909"/>
        <w:gridCol w:w="3772"/>
        <w:gridCol w:w="1165"/>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角钢（综合）</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Q345B，钢柱300*300*100*6mm*6mm、钢梁250*150*100*6mm*6mm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中厚钢板（综合）</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焊接钢管（综合）</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40*40*2mm厚镀锌方管、100*50*6mm厚镀锌方管、φ89镀锌管6mm厚横梁</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铁件</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5659.82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膜结构屋面</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3mmPVDF进口膜，1100克</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聚氨酯磁漆</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聚氨酯底漆</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环氧富锌底漆</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白色亮面油漆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无光调和漆</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白色亮面油漆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不锈钢井盖</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900*900*80mm，内置φ12mm螺纹钢8根</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重型铸铁井盖</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1200*1200mm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混凝土路沿石</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10*25cm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大理石路沿石</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1000*250*120mm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透水砖</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200*100*50mm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生态陶瓷透水砖</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100*200*60mm</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级配碎石</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 C20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C20，非泵送，1-3碎石</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 C25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C25，非泵送，1-3碎石</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bl>
    <w:p>
      <w:pPr>
        <w:numPr>
          <w:ilvl w:val="0"/>
          <w:numId w:val="0"/>
        </w:numPr>
        <w:spacing w:line="360" w:lineRule="auto"/>
        <w:rPr>
          <w:rFonts w:hint="eastAsia" w:ascii="宋体" w:hAnsi="宋体" w:eastAsia="宋体" w:cs="宋体"/>
          <w:color w:val="auto"/>
          <w:sz w:val="32"/>
          <w:szCs w:val="32"/>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w:t>
      </w:r>
      <w:r>
        <w:rPr>
          <w:rFonts w:hint="eastAsia" w:ascii="宋体" w:hAnsi="宋体" w:eastAsia="宋体" w:cs="宋体"/>
          <w:b w:val="0"/>
          <w:bCs w:val="0"/>
          <w:color w:val="auto"/>
          <w:kern w:val="0"/>
          <w:sz w:val="28"/>
          <w:szCs w:val="28"/>
          <w:highlight w:val="none"/>
        </w:rPr>
        <w:t>交货地点：</w:t>
      </w:r>
      <w:r>
        <w:rPr>
          <w:rFonts w:hint="eastAsia" w:ascii="宋体" w:hAnsi="宋体" w:eastAsia="宋体" w:cs="宋体"/>
          <w:b w:val="0"/>
          <w:bCs w:val="0"/>
          <w:color w:val="auto"/>
          <w:kern w:val="0"/>
          <w:sz w:val="28"/>
          <w:szCs w:val="28"/>
          <w:highlight w:val="none"/>
          <w:lang w:eastAsia="zh-CN"/>
        </w:rPr>
        <w:t>招标人指定地点</w:t>
      </w:r>
    </w:p>
    <w:p>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交货期限</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按甲方要求分批次供应</w:t>
      </w:r>
    </w:p>
    <w:p>
      <w:pPr>
        <w:keepNext w:val="0"/>
        <w:keepLines w:val="0"/>
        <w:widowControl/>
        <w:suppressLineNumbers w:val="0"/>
        <w:jc w:val="left"/>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3、售后服务：</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（1）自货物验收合格之日起，中标单位对所供货物提供24个月的质保期，因货物质量原因导致修理或更换部分的质保期从完工验收合格之日起计算。</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（4）质保期后，中标单位向招标人提供终身维修及服务，其费用按不高于材料成本价和历次服务费的标准执行，否则招标人有权按自己核定的价格向中标单位付款。</w:t>
      </w:r>
    </w:p>
    <w:p>
      <w:pPr>
        <w:keepNext w:val="0"/>
        <w:keepLines w:val="0"/>
        <w:widowControl/>
        <w:suppressLineNumbers w:val="0"/>
        <w:ind w:firstLine="560" w:firstLineChars="200"/>
        <w:jc w:val="left"/>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4、结算方式及期</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4.1结算依据：以甲、乙方双方确认的验收单为依据，单价按双方签订合同约定的价格结算。</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4.2供货和付款方式：</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b w:val="0"/>
          <w:bCs w:val="0"/>
          <w:color w:val="auto"/>
          <w:kern w:val="0"/>
          <w:sz w:val="28"/>
          <w:szCs w:val="28"/>
          <w:highlight w:val="none"/>
          <w:lang w:val="en-US" w:eastAsia="zh-CN" w:bidi="ar"/>
        </w:rPr>
        <w:t>7</w:t>
      </w:r>
      <w:r>
        <w:rPr>
          <w:rFonts w:hint="eastAsia" w:ascii="宋体" w:hAnsi="宋体" w:eastAsia="宋体" w:cs="宋体"/>
          <w:b w:val="0"/>
          <w:bCs w:val="0"/>
          <w:color w:val="auto"/>
          <w:kern w:val="0"/>
          <w:sz w:val="28"/>
          <w:szCs w:val="28"/>
          <w:highlight w:val="none"/>
          <w:lang w:val="en-US" w:eastAsia="zh-CN" w:bidi="ar"/>
        </w:rPr>
        <w:t>0%。</w:t>
      </w:r>
    </w:p>
    <w:p>
      <w:pPr>
        <w:pStyle w:val="1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4.2.2工程竣工双方验收合格，并办理结算审计后，乙方开具</w:t>
      </w:r>
      <w:r>
        <w:rPr>
          <w:rFonts w:hint="eastAsia" w:ascii="宋体" w:hAnsi="宋体" w:cs="宋体"/>
          <w:b w:val="0"/>
          <w:bCs w:val="0"/>
          <w:color w:val="auto"/>
          <w:kern w:val="0"/>
          <w:sz w:val="28"/>
          <w:szCs w:val="28"/>
          <w:highlight w:val="none"/>
          <w:lang w:val="en-US" w:eastAsia="zh-CN" w:bidi="ar"/>
        </w:rPr>
        <w:t>招标清单材料对应税点</w:t>
      </w:r>
      <w:r>
        <w:rPr>
          <w:rFonts w:hint="eastAsia" w:ascii="宋体" w:hAnsi="宋体" w:eastAsia="宋体" w:cs="宋体"/>
          <w:b w:val="0"/>
          <w:bCs w:val="0"/>
          <w:color w:val="auto"/>
          <w:kern w:val="0"/>
          <w:sz w:val="28"/>
          <w:szCs w:val="28"/>
          <w:highlight w:val="none"/>
          <w:lang w:val="en-US" w:eastAsia="zh-CN" w:bidi="ar"/>
        </w:rPr>
        <w:t>增值税专用发票后15个工作日内</w:t>
      </w:r>
      <w:r>
        <w:rPr>
          <w:rFonts w:hint="eastAsia" w:ascii="宋体" w:hAnsi="宋体" w:eastAsia="宋体" w:cs="宋体"/>
          <w:b w:val="0"/>
          <w:bCs w:val="0"/>
          <w:color w:val="auto"/>
          <w:kern w:val="0"/>
          <w:sz w:val="28"/>
          <w:szCs w:val="28"/>
          <w:highlight w:val="none"/>
          <w:lang w:val="en-US" w:eastAsia="zh-CN" w:bidi="ar"/>
        </w:rPr>
        <w:t>，甲方向乙方支付至验收材料款的100%。</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58" w:name="_GoBack"/>
      <w:bookmarkEnd w:id="58"/>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6"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6"/>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6"/>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44409279"/>
      <w:bookmarkStart w:id="47" w:name="_Toc344409075"/>
      <w:bookmarkStart w:id="48" w:name="_Toc323199452"/>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未响应要约价的，将被视为不响应招标文件的实质性要求，作无效标处理。</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分项报价表由招标人提供的招标要约价组成，参选人须附《招标要约价》所有内容。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8"/>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pPr>
        <w:pStyle w:val="12"/>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6"/>
        <w:pageBreakBefore w:val="0"/>
        <w:kinsoku/>
        <w:overflowPunct/>
        <w:topLinePunct w:val="0"/>
        <w:bidi w:val="0"/>
        <w:outlineLvl w:val="9"/>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pPr>
        <w:pStyle w:val="12"/>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在该单位开标前六个月内任意两个月的社保凭证）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6"/>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6"/>
        <w:pageBreakBefore w:val="0"/>
        <w:kinsoku/>
        <w:overflowPunct/>
        <w:topLinePunct w:val="0"/>
        <w:bidi w:val="0"/>
        <w:rPr>
          <w:rFonts w:hint="eastAsia" w:ascii="宋体" w:hAnsi="宋体" w:eastAsia="宋体" w:cs="宋体"/>
          <w:color w:val="auto"/>
          <w:sz w:val="24"/>
          <w:szCs w:val="24"/>
          <w:highlight w:val="none"/>
          <w:lang w:val="en-GB"/>
        </w:rPr>
      </w:pPr>
    </w:p>
    <w:p>
      <w:pPr>
        <w:pStyle w:val="12"/>
        <w:rPr>
          <w:rFonts w:hint="eastAsia" w:ascii="宋体" w:hAnsi="宋体" w:eastAsia="宋体" w:cs="宋体"/>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个月内任意</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个月的社保凭证）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t>8、参选人情况一览表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6"/>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6"/>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p>
    <w:p>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pPr>
        <w:pStyle w:val="25"/>
        <w:pageBreakBefore w:val="0"/>
        <w:kinsoku/>
        <w:overflowPunct/>
        <w:topLinePunct w:val="0"/>
        <w:bidi w:val="0"/>
        <w:ind w:firstLine="0"/>
        <w:rPr>
          <w:rFonts w:hint="eastAsia" w:ascii="宋体" w:hAnsi="宋体" w:eastAsia="宋体" w:cs="宋体"/>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pPr>
        <w:pStyle w:val="9"/>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D073DD1"/>
    <w:rsid w:val="0D735465"/>
    <w:rsid w:val="0D8670BE"/>
    <w:rsid w:val="0D8D6983"/>
    <w:rsid w:val="0E0C3E24"/>
    <w:rsid w:val="0E5C3669"/>
    <w:rsid w:val="0E6869AA"/>
    <w:rsid w:val="0E6C0EED"/>
    <w:rsid w:val="0E9E6512"/>
    <w:rsid w:val="0EB2020F"/>
    <w:rsid w:val="0EB977F0"/>
    <w:rsid w:val="0ED34CF7"/>
    <w:rsid w:val="0EEC7BA6"/>
    <w:rsid w:val="0EFD4D2D"/>
    <w:rsid w:val="0F1F6CBB"/>
    <w:rsid w:val="0F6159A2"/>
    <w:rsid w:val="0FE61EC6"/>
    <w:rsid w:val="101F5E42"/>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806B32"/>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735EF2"/>
    <w:rsid w:val="43CF6B92"/>
    <w:rsid w:val="44384737"/>
    <w:rsid w:val="44E525C1"/>
    <w:rsid w:val="44F461CB"/>
    <w:rsid w:val="451B2DDC"/>
    <w:rsid w:val="45442C68"/>
    <w:rsid w:val="4563545A"/>
    <w:rsid w:val="45684BA8"/>
    <w:rsid w:val="45C70E4A"/>
    <w:rsid w:val="46267924"/>
    <w:rsid w:val="464E7792"/>
    <w:rsid w:val="46717E46"/>
    <w:rsid w:val="46A41BD6"/>
    <w:rsid w:val="46BA2FBB"/>
    <w:rsid w:val="46C2653A"/>
    <w:rsid w:val="46DE0DE1"/>
    <w:rsid w:val="47277DB0"/>
    <w:rsid w:val="47681F8B"/>
    <w:rsid w:val="47683DA1"/>
    <w:rsid w:val="477647C2"/>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AB0B5F"/>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190998"/>
    <w:rsid w:val="654815BA"/>
    <w:rsid w:val="655F4A2A"/>
    <w:rsid w:val="6581707A"/>
    <w:rsid w:val="66150F73"/>
    <w:rsid w:val="661E4002"/>
    <w:rsid w:val="663B3B08"/>
    <w:rsid w:val="66CA0DC7"/>
    <w:rsid w:val="66D962DF"/>
    <w:rsid w:val="673B1C5F"/>
    <w:rsid w:val="67BE4817"/>
    <w:rsid w:val="67FF793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rPr>
      <w:kern w:val="0"/>
    </w:rPr>
  </w:style>
  <w:style w:type="paragraph" w:styleId="12">
    <w:name w:val="Body Text"/>
    <w:basedOn w:val="1"/>
    <w:next w:val="13"/>
    <w:qFormat/>
    <w:uiPriority w:val="99"/>
    <w:pPr>
      <w:spacing w:after="120"/>
    </w:pPr>
    <w:rPr>
      <w:kern w:val="0"/>
    </w:rPr>
  </w:style>
  <w:style w:type="paragraph" w:styleId="13">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3"/>
    <w:qFormat/>
    <w:uiPriority w:val="0"/>
    <w:pPr>
      <w:spacing w:after="120" w:line="480" w:lineRule="auto"/>
      <w:ind w:left="420" w:leftChars="200"/>
    </w:pPr>
  </w:style>
  <w:style w:type="paragraph" w:styleId="18">
    <w:name w:val="Balloon Text"/>
    <w:basedOn w:val="1"/>
    <w:link w:val="4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7"/>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6"/>
    <w:next w:val="1"/>
    <w:qFormat/>
    <w:uiPriority w:val="0"/>
    <w:rPr>
      <w:rFonts w:ascii="宋体"/>
      <w:sz w:val="44"/>
    </w:rPr>
  </w:style>
  <w:style w:type="paragraph" w:styleId="25">
    <w:name w:val="Body Text First Indent"/>
    <w:basedOn w:val="12"/>
    <w:next w:val="1"/>
    <w:qFormat/>
    <w:uiPriority w:val="99"/>
    <w:pPr>
      <w:ind w:firstLine="420"/>
    </w:pPr>
    <w:rPr>
      <w:szCs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5"/>
    <w:qFormat/>
    <w:uiPriority w:val="0"/>
    <w:rPr>
      <w:b/>
      <w:kern w:val="44"/>
      <w:sz w:val="44"/>
    </w:rPr>
  </w:style>
  <w:style w:type="character" w:customStyle="1" w:styleId="43">
    <w:name w:val="正文文本缩进 2 Char"/>
    <w:basedOn w:val="28"/>
    <w:link w:val="17"/>
    <w:qFormat/>
    <w:uiPriority w:val="0"/>
    <w:rPr>
      <w:kern w:val="2"/>
      <w:sz w:val="21"/>
      <w:szCs w:val="24"/>
    </w:rPr>
  </w:style>
  <w:style w:type="character" w:customStyle="1" w:styleId="44">
    <w:name w:val="批注框文本 Char"/>
    <w:basedOn w:val="28"/>
    <w:link w:val="18"/>
    <w:qFormat/>
    <w:uiPriority w:val="0"/>
    <w:rPr>
      <w:kern w:val="2"/>
      <w:sz w:val="18"/>
      <w:szCs w:val="18"/>
    </w:rPr>
  </w:style>
  <w:style w:type="character" w:customStyle="1" w:styleId="45">
    <w:name w:val="页脚 Char"/>
    <w:basedOn w:val="28"/>
    <w:link w:val="19"/>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4"/>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39</Pages>
  <Words>12241</Words>
  <Characters>13488</Characters>
  <Lines>190</Lines>
  <Paragraphs>53</Paragraphs>
  <TotalTime>20</TotalTime>
  <ScaleCrop>false</ScaleCrop>
  <LinksUpToDate>false</LinksUpToDate>
  <CharactersWithSpaces>15528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2023-06-29T04:21:21Z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F1773A2088E44F7F9657390D201A2473_13</vt:lpwstr>
  </property>
</Properties>
</file>