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bidi w:val="0"/>
        <w:jc w:val="center"/>
        <w:rPr>
          <w:rFonts w:hint="eastAsia" w:ascii="宋体" w:hAnsi="宋体" w:eastAsia="宋体" w:cs="宋体"/>
          <w:b/>
          <w:color w:val="auto"/>
          <w:sz w:val="52"/>
          <w:szCs w:val="52"/>
          <w:highlight w:val="non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Style w:val="47"/>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pPr>
        <w:pageBreakBefore w:val="0"/>
        <w:kinsoku/>
        <w:overflowPunct/>
        <w:topLinePunct w:val="0"/>
        <w:bidi w:val="0"/>
        <w:jc w:val="center"/>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Style w:val="47"/>
        <w:pageBreakBefore w:val="0"/>
        <w:kinsoku/>
        <w:overflowPunct/>
        <w:topLinePunct w:val="0"/>
        <w:bidi w:val="0"/>
        <w:rPr>
          <w:rFonts w:hint="eastAsia" w:ascii="宋体" w:hAnsi="宋体" w:eastAsia="宋体" w:cs="宋体"/>
          <w:color w:val="auto"/>
          <w:highlight w:val="none"/>
        </w:rPr>
      </w:pPr>
    </w:p>
    <w:p>
      <w:pPr>
        <w:pStyle w:val="47"/>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480" w:lineRule="auto"/>
        <w:ind w:left="2096" w:leftChars="284" w:hanging="1500" w:hangingChars="500"/>
        <w:rPr>
          <w:rFonts w:hint="eastAsia" w:ascii="宋体" w:hAnsi="宋体" w:eastAsia="宋体" w:cs="宋体"/>
          <w:color w:val="auto"/>
          <w:sz w:val="28"/>
          <w:szCs w:val="28"/>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欧罗巴地面停车场改造工程-碎石、混凝土采购</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JXFZ20230318</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pPr>
        <w:pageBreakBefore w:val="0"/>
        <w:kinsoku/>
        <w:overflowPunct/>
        <w:topLinePunct w:val="0"/>
        <w:bidi w:val="0"/>
        <w:spacing w:line="720" w:lineRule="auto"/>
        <w:ind w:firstLine="600" w:firstLineChars="20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招标代理机构：</w:t>
      </w:r>
      <w:r>
        <w:rPr>
          <w:rFonts w:hint="eastAsia" w:ascii="宋体" w:hAnsi="宋体" w:eastAsia="宋体" w:cs="宋体"/>
          <w:color w:val="auto"/>
          <w:sz w:val="30"/>
          <w:szCs w:val="30"/>
          <w:highlight w:val="none"/>
          <w:lang w:eastAsia="zh-CN"/>
        </w:rPr>
        <w:t>江西方正招标代理有限公司</w:t>
      </w:r>
      <w:r>
        <w:rPr>
          <w:rFonts w:hint="eastAsia" w:ascii="宋体" w:hAnsi="宋体" w:eastAsia="宋体" w:cs="宋体"/>
          <w:color w:val="auto"/>
          <w:sz w:val="30"/>
          <w:szCs w:val="30"/>
          <w:highlight w:val="none"/>
        </w:rPr>
        <w:t>（公章）</w:t>
      </w:r>
    </w:p>
    <w:p>
      <w:pPr>
        <w:pStyle w:val="2"/>
        <w:pageBreakBefore w:val="0"/>
        <w:kinsoku/>
        <w:overflowPunct/>
        <w:topLinePunct w:val="0"/>
        <w:bidi w:val="0"/>
        <w:outlineLvl w:val="9"/>
        <w:rPr>
          <w:rFonts w:hint="eastAsia" w:ascii="宋体" w:hAnsi="宋体" w:eastAsia="宋体" w:cs="宋体"/>
          <w:color w:val="auto"/>
          <w:highlight w:val="none"/>
        </w:rPr>
      </w:pPr>
    </w:p>
    <w:p>
      <w:pPr>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rPr>
          <w:rFonts w:hint="eastAsia" w:ascii="宋体" w:hAnsi="宋体" w:eastAsia="宋体" w:cs="宋体"/>
          <w:color w:val="auto"/>
          <w:sz w:val="32"/>
          <w:highlight w:val="none"/>
        </w:rPr>
      </w:pPr>
    </w:p>
    <w:p>
      <w:pPr>
        <w:pStyle w:val="47"/>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eastAsia="宋体" w:cs="宋体"/>
          <w:b/>
          <w:color w:val="auto"/>
          <w:sz w:val="36"/>
          <w:highlight w:val="none"/>
          <w:lang w:eastAsia="zh-CN"/>
        </w:rPr>
        <w:t>三</w:t>
      </w:r>
      <w:r>
        <w:rPr>
          <w:rFonts w:hint="eastAsia" w:ascii="宋体" w:hAnsi="宋体" w:eastAsia="宋体" w:cs="宋体"/>
          <w:b/>
          <w:color w:val="auto"/>
          <w:sz w:val="36"/>
          <w:highlight w:val="none"/>
        </w:rPr>
        <w:t>年</w:t>
      </w:r>
      <w:r>
        <w:rPr>
          <w:rFonts w:hint="eastAsia" w:ascii="宋体" w:hAnsi="宋体" w:cs="宋体"/>
          <w:b/>
          <w:color w:val="auto"/>
          <w:sz w:val="36"/>
          <w:highlight w:val="none"/>
          <w:lang w:val="en-US" w:eastAsia="zh-CN"/>
        </w:rPr>
        <w:t>四</w:t>
      </w:r>
      <w:r>
        <w:rPr>
          <w:rFonts w:hint="eastAsia" w:ascii="宋体" w:hAnsi="宋体" w:eastAsia="宋体" w:cs="宋体"/>
          <w:b/>
          <w:color w:val="auto"/>
          <w:sz w:val="36"/>
          <w:highlight w:val="none"/>
        </w:rPr>
        <w:t>月</w:t>
      </w:r>
    </w:p>
    <w:p>
      <w:pPr>
        <w:pStyle w:val="8"/>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rPr>
          <w:rFonts w:hint="eastAsia" w:ascii="宋体" w:hAnsi="宋体" w:eastAsia="宋体" w:cs="宋体"/>
          <w:b/>
          <w:color w:val="auto"/>
          <w:sz w:val="30"/>
          <w:szCs w:val="30"/>
          <w:highlight w:val="none"/>
          <w:u w:val="single"/>
        </w:rPr>
      </w:pPr>
    </w:p>
    <w:p>
      <w:pPr>
        <w:pageBreakBefore w:val="0"/>
        <w:kinsoku/>
        <w:overflowPunct/>
        <w:topLinePunct w:val="0"/>
        <w:bidi w:val="0"/>
        <w:jc w:val="center"/>
        <w:rPr>
          <w:rFonts w:hint="eastAsia" w:ascii="宋体" w:hAnsi="宋体" w:eastAsia="宋体" w:cs="宋体"/>
          <w:b/>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p>
    <w:p>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pPr>
        <w:pStyle w:val="47"/>
        <w:pageBreakBefore w:val="0"/>
        <w:kinsoku/>
        <w:overflowPunct/>
        <w:topLinePunct w:val="0"/>
        <w:bidi w:val="0"/>
        <w:rPr>
          <w:rFonts w:hint="eastAsia" w:ascii="宋体" w:hAnsi="宋体" w:eastAsia="宋体" w:cs="宋体"/>
          <w:color w:val="auto"/>
          <w:highlight w:val="none"/>
        </w:rPr>
      </w:pP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21"/>
        <w:tabs>
          <w:tab w:val="right" w:leader="dot" w:pos="8820"/>
          <w:tab w:val="clear" w:pos="720"/>
          <w:tab w:val="clear" w:pos="9072"/>
        </w:tabs>
        <w:rPr>
          <w:rFonts w:hint="eastAsia" w:ascii="宋体" w:hAnsi="宋体" w:eastAsia="宋体" w:cs="宋体"/>
          <w:color w:val="auto"/>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第五章 参选文件格式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_Toc17144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pPr>
    </w:p>
    <w:p>
      <w:pPr>
        <w:pStyle w:val="47"/>
        <w:pageBreakBefore w:val="0"/>
        <w:kinsoku/>
        <w:overflowPunct/>
        <w:topLinePunct w:val="0"/>
        <w:bidi w:val="0"/>
        <w:rPr>
          <w:rFonts w:hint="eastAsia" w:ascii="宋体" w:hAnsi="宋体" w:eastAsia="宋体" w:cs="宋体"/>
          <w:color w:val="auto"/>
          <w:szCs w:val="28"/>
          <w:highlight w:val="none"/>
        </w:rPr>
        <w:sectPr>
          <w:headerReference r:id="rId3" w:type="default"/>
          <w:pgSz w:w="11906" w:h="16839"/>
          <w:pgMar w:top="1040" w:right="1337" w:bottom="720" w:left="1749" w:header="0" w:footer="601" w:gutter="0"/>
          <w:pgNumType w:start="1"/>
          <w:cols w:space="720" w:num="1"/>
        </w:sectPr>
      </w:pPr>
    </w:p>
    <w:p>
      <w:pPr>
        <w:pStyle w:val="23"/>
        <w:pageBreakBefore w:val="0"/>
        <w:numPr>
          <w:ilvl w:val="0"/>
          <w:numId w:val="2"/>
        </w:numPr>
        <w:kinsoku/>
        <w:overflowPunct/>
        <w:topLinePunct w:val="0"/>
        <w:bidi w:val="0"/>
        <w:spacing w:line="300" w:lineRule="exact"/>
        <w:jc w:val="center"/>
        <w:outlineLvl w:val="0"/>
        <w:rPr>
          <w:rStyle w:val="30"/>
          <w:rFonts w:hint="eastAsia" w:ascii="宋体" w:hAnsi="宋体" w:eastAsia="宋体" w:cs="宋体"/>
          <w:b/>
          <w:color w:val="auto"/>
          <w:sz w:val="31"/>
          <w:szCs w:val="31"/>
          <w:highlight w:val="none"/>
        </w:rPr>
      </w:pPr>
      <w:bookmarkStart w:id="0" w:name="_Toc639"/>
      <w:r>
        <w:rPr>
          <w:rStyle w:val="30"/>
          <w:rFonts w:hint="eastAsia" w:ascii="宋体" w:hAnsi="宋体" w:eastAsia="宋体" w:cs="宋体"/>
          <w:b/>
          <w:color w:val="auto"/>
          <w:sz w:val="31"/>
          <w:szCs w:val="31"/>
          <w:highlight w:val="none"/>
        </w:rPr>
        <w:t>比选公告</w:t>
      </w:r>
      <w:bookmarkEnd w:id="0"/>
    </w:p>
    <w:p>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lang w:val="zh-CN"/>
        </w:rPr>
        <w:t>江西方正招标代理有限公司受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欧罗巴地面停车场改造工程-碎石、混凝土采购</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JXFZ20230318</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84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7"/>
        <w:gridCol w:w="2442"/>
        <w:gridCol w:w="1097"/>
        <w:gridCol w:w="1550"/>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招标要约价</w:t>
            </w:r>
          </w:p>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2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JXFZ20230318</w:t>
            </w:r>
          </w:p>
        </w:tc>
        <w:tc>
          <w:tcPr>
            <w:tcW w:w="2442"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欧罗巴地面停车场改造工程-碎石、混凝土采购</w:t>
            </w:r>
          </w:p>
        </w:tc>
        <w:tc>
          <w:tcPr>
            <w:tcW w:w="1097"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55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570" w:type="dxa"/>
            <w:noWrap w:val="0"/>
            <w:vAlign w:val="center"/>
          </w:tcPr>
          <w:p>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 xml:space="preserve">450430.00 </w:t>
            </w:r>
            <w:r>
              <w:rPr>
                <w:rFonts w:hint="eastAsia" w:ascii="宋体" w:hAnsi="宋体" w:eastAsia="宋体" w:cs="宋体"/>
                <w:color w:val="auto"/>
                <w:kern w:val="0"/>
                <w:sz w:val="24"/>
                <w:highlight w:val="none"/>
                <w:lang w:val="en-US" w:eastAsia="zh-CN"/>
              </w:rPr>
              <w:t>元</w:t>
            </w:r>
          </w:p>
        </w:tc>
      </w:tr>
    </w:tbl>
    <w:p>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5.参加采购活动前三年内，在经营活动中没有重大违法记录；</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法定代表人证明资料）原件及被授权人（或法定代表人）身份证复印件；提供委托代理人在该单位标前三个月内任意一个月的社保凭证</w:t>
      </w:r>
      <w:r>
        <w:rPr>
          <w:rFonts w:hint="eastAsia" w:ascii="宋体" w:hAnsi="宋体" w:eastAsia="宋体" w:cs="宋体"/>
          <w:color w:val="auto"/>
          <w:sz w:val="24"/>
          <w:szCs w:val="24"/>
          <w:highlight w:val="none"/>
          <w:lang w:eastAsia="zh-CN"/>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4"/>
          <w:szCs w:val="24"/>
          <w:highlight w:val="none"/>
        </w:rPr>
        <w:t>；</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四、比选文件的获取：</w:t>
      </w:r>
    </w:p>
    <w:p>
      <w:pPr>
        <w:widowControl/>
        <w:snapToGrid w:val="0"/>
        <w:spacing w:line="360" w:lineRule="auto"/>
        <w:jc w:val="left"/>
        <w:rPr>
          <w:rFonts w:hint="eastAsia" w:ascii="宋体" w:hAnsi="宋体" w:eastAsia="宋体" w:cs="宋体"/>
          <w:kern w:val="0"/>
          <w:sz w:val="24"/>
        </w:rPr>
      </w:pPr>
      <w:r>
        <w:rPr>
          <w:rFonts w:hint="eastAsia" w:ascii="宋体" w:hAnsi="宋体" w:eastAsia="宋体" w:cs="宋体"/>
          <w:kern w:val="0"/>
          <w:sz w:val="24"/>
        </w:rPr>
        <w:t>有意向的参选人自行在南昌市红谷滩城市投资集团有限公司网站(网址：</w:t>
      </w:r>
      <w:r>
        <w:rPr>
          <w:rFonts w:hint="eastAsia" w:ascii="宋体" w:hAnsi="宋体" w:eastAsia="宋体" w:cs="宋体"/>
          <w:kern w:val="0"/>
          <w:sz w:val="24"/>
        </w:rPr>
        <w:fldChar w:fldCharType="begin"/>
      </w:r>
      <w:r>
        <w:rPr>
          <w:rFonts w:hint="eastAsia" w:ascii="宋体" w:hAnsi="宋体" w:eastAsia="宋体" w:cs="宋体"/>
          <w:kern w:val="0"/>
          <w:sz w:val="24"/>
        </w:rPr>
        <w:instrText xml:space="preserve"> HYPERLINK "http://www.hgtct.com" </w:instrText>
      </w:r>
      <w:r>
        <w:rPr>
          <w:rFonts w:hint="eastAsia" w:ascii="宋体" w:hAnsi="宋体" w:eastAsia="宋体" w:cs="宋体"/>
          <w:kern w:val="0"/>
          <w:sz w:val="24"/>
        </w:rPr>
        <w:fldChar w:fldCharType="separate"/>
      </w:r>
      <w:r>
        <w:rPr>
          <w:rFonts w:hint="eastAsia" w:ascii="宋体" w:hAnsi="宋体" w:eastAsia="宋体" w:cs="宋体"/>
          <w:kern w:val="0"/>
          <w:sz w:val="24"/>
        </w:rPr>
        <w:t>http://www.hgtct.com</w:t>
      </w:r>
      <w:r>
        <w:rPr>
          <w:rFonts w:hint="eastAsia" w:ascii="宋体" w:hAnsi="宋体" w:eastAsia="宋体" w:cs="宋体"/>
          <w:kern w:val="0"/>
          <w:sz w:val="24"/>
        </w:rPr>
        <w:fldChar w:fldCharType="end"/>
      </w:r>
      <w:r>
        <w:rPr>
          <w:rFonts w:hint="eastAsia" w:ascii="宋体" w:hAnsi="宋体" w:eastAsia="宋体" w:cs="宋体"/>
          <w:kern w:val="0"/>
          <w:sz w:val="24"/>
        </w:rPr>
        <w:t>)上下载比选文件。</w:t>
      </w:r>
    </w:p>
    <w:p>
      <w:pPr>
        <w:snapToGrid w:val="0"/>
        <w:spacing w:line="360" w:lineRule="auto"/>
        <w:rPr>
          <w:rFonts w:hint="eastAsia" w:ascii="宋体" w:hAnsi="宋体"/>
          <w:sz w:val="24"/>
        </w:rPr>
      </w:pPr>
      <w:r>
        <w:rPr>
          <w:rFonts w:hint="eastAsia" w:ascii="宋体" w:hAnsi="宋体" w:cs="宋体"/>
          <w:b/>
          <w:bCs/>
          <w:kern w:val="0"/>
          <w:sz w:val="24"/>
        </w:rPr>
        <w:t>五、</w:t>
      </w:r>
      <w:r>
        <w:rPr>
          <w:rFonts w:hint="eastAsia" w:ascii="宋体" w:hAnsi="宋体"/>
          <w:b/>
          <w:bCs/>
          <w:sz w:val="24"/>
        </w:rPr>
        <w:t>递交</w:t>
      </w:r>
      <w:r>
        <w:rPr>
          <w:rFonts w:hint="eastAsia" w:ascii="宋体" w:hAnsi="宋体" w:cs="宋体"/>
          <w:b/>
          <w:bCs/>
          <w:kern w:val="0"/>
          <w:sz w:val="24"/>
        </w:rPr>
        <w:t>参选</w:t>
      </w:r>
      <w:r>
        <w:rPr>
          <w:rFonts w:hint="eastAsia" w:ascii="宋体" w:hAnsi="宋体"/>
          <w:b/>
          <w:bCs/>
          <w:sz w:val="24"/>
        </w:rPr>
        <w:t>文件截止时间及比选地点：</w:t>
      </w:r>
    </w:p>
    <w:p>
      <w:pPr>
        <w:widowControl/>
        <w:snapToGrid w:val="0"/>
        <w:spacing w:line="360" w:lineRule="auto"/>
        <w:jc w:val="left"/>
        <w:rPr>
          <w:rFonts w:hint="eastAsia" w:ascii="宋体" w:hAnsi="宋体" w:eastAsia="宋体" w:cs="宋体"/>
          <w:kern w:val="0"/>
          <w:sz w:val="24"/>
          <w:lang w:eastAsia="zh-CN"/>
        </w:rPr>
      </w:pPr>
      <w:r>
        <w:rPr>
          <w:rFonts w:hint="eastAsia" w:ascii="宋体" w:hAnsi="宋体" w:cs="宋体"/>
          <w:kern w:val="0"/>
          <w:sz w:val="24"/>
        </w:rPr>
        <w:t>1、递交参选文件截止时间和比选时间为202</w:t>
      </w:r>
      <w:r>
        <w:rPr>
          <w:rFonts w:hint="eastAsia" w:ascii="宋体" w:hAnsi="宋体" w:cs="宋体"/>
          <w:kern w:val="0"/>
          <w:sz w:val="24"/>
          <w:lang w:val="en-US" w:eastAsia="zh-CN"/>
        </w:rPr>
        <w:t>3</w:t>
      </w:r>
      <w:r>
        <w:rPr>
          <w:rFonts w:hint="eastAsia" w:ascii="宋体" w:hAnsi="宋体" w:cs="宋体"/>
          <w:kern w:val="0"/>
          <w:sz w:val="24"/>
        </w:rPr>
        <w:t>年</w:t>
      </w:r>
      <w:r>
        <w:rPr>
          <w:rFonts w:hint="eastAsia" w:ascii="宋体" w:hAnsi="宋体" w:cs="宋体"/>
          <w:kern w:val="0"/>
          <w:sz w:val="24"/>
          <w:lang w:val="en-US" w:eastAsia="zh-CN"/>
        </w:rPr>
        <w:t xml:space="preserve">4 </w:t>
      </w:r>
      <w:r>
        <w:rPr>
          <w:rFonts w:hint="eastAsia" w:ascii="宋体" w:hAnsi="宋体" w:cs="宋体"/>
          <w:kern w:val="0"/>
          <w:sz w:val="24"/>
        </w:rPr>
        <w:t>月</w:t>
      </w:r>
      <w:r>
        <w:rPr>
          <w:rFonts w:hint="eastAsia" w:ascii="宋体" w:hAnsi="宋体" w:cs="宋体"/>
          <w:kern w:val="0"/>
          <w:sz w:val="24"/>
          <w:lang w:val="en-US" w:eastAsia="zh-CN"/>
        </w:rPr>
        <w:t xml:space="preserve">  19</w:t>
      </w:r>
      <w:r>
        <w:rPr>
          <w:rFonts w:hint="eastAsia" w:ascii="宋体" w:hAnsi="宋体" w:cs="宋体"/>
          <w:kern w:val="0"/>
          <w:sz w:val="24"/>
        </w:rPr>
        <w:t>日</w:t>
      </w:r>
      <w:r>
        <w:rPr>
          <w:rFonts w:hint="eastAsia" w:ascii="宋体" w:hAnsi="宋体" w:cs="宋体"/>
          <w:kern w:val="0"/>
          <w:sz w:val="24"/>
          <w:lang w:val="en-US" w:eastAsia="zh-CN"/>
        </w:rPr>
        <w:t>16:30</w:t>
      </w:r>
      <w:r>
        <w:rPr>
          <w:rFonts w:hint="eastAsia" w:ascii="宋体" w:hAnsi="宋体" w:cs="宋体"/>
          <w:kern w:val="0"/>
          <w:sz w:val="24"/>
        </w:rPr>
        <w:t>(北京时间)</w:t>
      </w:r>
      <w:r>
        <w:rPr>
          <w:rFonts w:hint="eastAsia" w:ascii="宋体" w:hAnsi="宋体" w:cs="宋体"/>
          <w:kern w:val="0"/>
          <w:sz w:val="24"/>
          <w:lang w:eastAsia="zh-CN"/>
        </w:rPr>
        <w:t>；</w:t>
      </w:r>
    </w:p>
    <w:p>
      <w:pPr>
        <w:widowControl/>
        <w:snapToGrid w:val="0"/>
        <w:spacing w:line="360" w:lineRule="auto"/>
        <w:jc w:val="left"/>
        <w:rPr>
          <w:rFonts w:hint="eastAsia" w:ascii="宋体" w:hAnsi="宋体"/>
          <w:color w:val="000000"/>
          <w:sz w:val="24"/>
        </w:rPr>
      </w:pPr>
      <w:r>
        <w:rPr>
          <w:rFonts w:hint="eastAsia" w:ascii="宋体" w:hAnsi="宋体" w:cs="宋体"/>
          <w:kern w:val="0"/>
          <w:sz w:val="24"/>
        </w:rPr>
        <w:t>2、比选地点：</w:t>
      </w:r>
      <w:r>
        <w:rPr>
          <w:rFonts w:hint="eastAsia" w:ascii="宋体" w:hAnsi="宋体" w:eastAsia="宋体" w:cs="宋体"/>
          <w:kern w:val="0"/>
          <w:sz w:val="24"/>
          <w:szCs w:val="24"/>
          <w:lang w:eastAsia="zh-CN"/>
        </w:rPr>
        <w:t>南昌市红谷滩区丰和中大道1318号南昌建设大厦8楼</w:t>
      </w:r>
      <w:r>
        <w:rPr>
          <w:rFonts w:hint="eastAsia" w:ascii="宋体" w:hAnsi="宋体"/>
          <w:color w:val="000000"/>
          <w:sz w:val="24"/>
        </w:rPr>
        <w:t>。</w:t>
      </w:r>
    </w:p>
    <w:p>
      <w:pPr>
        <w:widowControl/>
        <w:snapToGrid w:val="0"/>
        <w:spacing w:line="360" w:lineRule="auto"/>
        <w:jc w:val="left"/>
        <w:rPr>
          <w:rFonts w:hint="eastAsia" w:ascii="宋体" w:hAnsi="宋体" w:cs="宋体"/>
          <w:b/>
          <w:bCs/>
          <w:kern w:val="0"/>
          <w:sz w:val="24"/>
        </w:rPr>
      </w:pPr>
      <w:r>
        <w:rPr>
          <w:rFonts w:hint="eastAsia" w:ascii="宋体" w:hAnsi="宋体" w:eastAsia="宋体" w:cs="宋体"/>
          <w:b/>
          <w:bCs/>
          <w:kern w:val="0"/>
          <w:sz w:val="24"/>
          <w:szCs w:val="24"/>
          <w:lang w:val="en-US" w:eastAsia="zh-CN" w:bidi="ar-SA"/>
        </w:rPr>
        <w:t>六、</w:t>
      </w:r>
      <w:r>
        <w:rPr>
          <w:rFonts w:hint="eastAsia" w:ascii="宋体" w:hAnsi="宋体" w:cs="宋体"/>
          <w:b/>
          <w:bCs/>
          <w:kern w:val="0"/>
          <w:sz w:val="24"/>
        </w:rPr>
        <w:t>联系方式：</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招标代理机构名称：</w:t>
      </w:r>
      <w:r>
        <w:rPr>
          <w:rFonts w:hint="eastAsia" w:ascii="宋体" w:hAnsi="宋体" w:eastAsia="宋体" w:cs="宋体"/>
          <w:color w:val="auto"/>
          <w:sz w:val="24"/>
          <w:highlight w:val="none"/>
          <w:lang w:eastAsia="zh-CN"/>
        </w:rPr>
        <w:t>江西方正招标代理有限公司</w:t>
      </w:r>
    </w:p>
    <w:p>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eastAsia="宋体" w:cs="宋体"/>
          <w:color w:val="auto"/>
          <w:sz w:val="24"/>
          <w:highlight w:val="none"/>
          <w:lang w:eastAsia="zh-CN"/>
        </w:rPr>
        <w:t>南昌市红谷滩区丰和中大道1318号南昌建设大厦8楼</w:t>
      </w:r>
    </w:p>
    <w:p>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eastAsia="宋体" w:cs="宋体"/>
          <w:color w:val="auto"/>
          <w:kern w:val="0"/>
          <w:sz w:val="24"/>
          <w:highlight w:val="none"/>
          <w:lang w:val="en-US" w:eastAsia="zh-CN"/>
        </w:rPr>
        <w:t>13979179876</w:t>
      </w:r>
    </w:p>
    <w:p>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eastAsia="宋体" w:cs="宋体"/>
          <w:color w:val="auto"/>
          <w:sz w:val="24"/>
          <w:highlight w:val="none"/>
          <w:lang w:eastAsia="zh-CN"/>
        </w:rPr>
        <w:t>jxfzzb2022@sina.com</w:t>
      </w:r>
    </w:p>
    <w:p>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pPr>
        <w:pStyle w:val="2"/>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欧罗巴地面停车场改造工程-碎石、混凝土采购</w:t>
            </w:r>
            <w:r>
              <w:rPr>
                <w:rFonts w:hint="eastAsia" w:ascii="宋体" w:hAnsi="宋体" w:eastAsia="宋体" w:cs="宋体"/>
                <w:color w:val="auto"/>
                <w:kern w:val="0"/>
                <w:sz w:val="24"/>
                <w:highlight w:val="none"/>
              </w:rPr>
              <w:t xml:space="preserve">                     </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JXFZ20230318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pPr>
              <w:pageBreakBefore w:val="0"/>
              <w:widowControl/>
              <w:kinsoku/>
              <w:wordWrap w:val="0"/>
              <w:overflowPunct/>
              <w:topLinePunct w:val="0"/>
              <w:bidi w:val="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eastAsia="宋体" w:cs="宋体"/>
                <w:color w:val="auto"/>
                <w:kern w:val="0"/>
                <w:sz w:val="24"/>
                <w:highlight w:val="none"/>
              </w:rPr>
              <w:t>招标代理机构：</w:t>
            </w:r>
            <w:r>
              <w:rPr>
                <w:rFonts w:hint="eastAsia" w:ascii="宋体" w:hAnsi="宋体" w:eastAsia="宋体" w:cs="宋体"/>
                <w:color w:val="auto"/>
                <w:kern w:val="0"/>
                <w:sz w:val="24"/>
                <w:highlight w:val="none"/>
                <w:lang w:eastAsia="zh-CN"/>
              </w:rPr>
              <w:t>江西方正招标代理有限公司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eastAsia="宋体" w:cs="宋体"/>
                <w:color w:val="auto"/>
                <w:sz w:val="24"/>
                <w:highlight w:val="none"/>
                <w:lang w:eastAsia="zh-CN"/>
              </w:rPr>
              <w:t>南昌市红谷滩区丰和中大道1318号南昌建设大厦8楼</w:t>
            </w:r>
          </w:p>
          <w:p>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val="en-US" w:eastAsia="zh-CN"/>
              </w:rPr>
              <w:t>徐文亮</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eastAsia="宋体" w:cs="宋体"/>
                <w:color w:val="auto"/>
                <w:kern w:val="0"/>
                <w:sz w:val="24"/>
                <w:highlight w:val="none"/>
                <w:lang w:val="en-US" w:eastAsia="zh-CN"/>
              </w:rPr>
              <w:t>13979179876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交货期限：按甲方要求分批次供应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eastAsia="宋体" w:cs="宋体"/>
                <w:color w:val="auto"/>
                <w:sz w:val="24"/>
                <w:highlight w:val="none"/>
                <w:lang w:eastAsia="zh-CN"/>
              </w:rPr>
              <w:t>jxfzzb2022@sina.com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cs="宋体"/>
                <w:color w:val="auto"/>
                <w:sz w:val="24"/>
                <w:highlight w:val="none"/>
                <w:lang w:eastAsia="zh-CN"/>
              </w:rPr>
              <w:t>南昌市红谷滩城市投资集团有限公司网站(网址：http://www.hgtct.com)</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8795" w:type="dxa"/>
            <w:noWrap w:val="0"/>
            <w:vAlign w:val="center"/>
          </w:tcPr>
          <w:p>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中选人在领取中选通知书时，一次性支付给招标代理机构</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人民币贰仟柒佰伍拾捌整（￥2758.00）</w:t>
            </w:r>
            <w:r>
              <w:rPr>
                <w:rFonts w:hint="eastAsia" w:ascii="宋体" w:hAnsi="宋体" w:eastAsia="宋体" w:cs="宋体"/>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p>
        </w:tc>
        <w:tc>
          <w:tcPr>
            <w:tcW w:w="8795" w:type="dxa"/>
            <w:noWrap w:val="0"/>
            <w:vAlign w:val="center"/>
          </w:tcPr>
          <w:p>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pPr>
        <w:pStyle w:val="2"/>
        <w:pageBreakBefore w:val="0"/>
        <w:kinsoku/>
        <w:overflowPunct/>
        <w:topLinePunct w:val="0"/>
        <w:bidi w:val="0"/>
        <w:jc w:val="center"/>
        <w:rPr>
          <w:rFonts w:hint="eastAsia" w:ascii="宋体" w:hAnsi="宋体" w:eastAsia="宋体" w:cs="宋体"/>
          <w:color w:val="auto"/>
          <w:highlight w:val="none"/>
        </w:rPr>
      </w:pPr>
      <w:r>
        <w:rPr>
          <w:rFonts w:hint="eastAsia" w:ascii="宋体" w:hAnsi="宋体" w:eastAsia="宋体" w:cs="宋体"/>
          <w:color w:val="auto"/>
          <w:highlight w:val="none"/>
        </w:rPr>
        <w:t>参选人须知正文</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17175"/>
      <w:bookmarkStart w:id="3" w:name="_Toc31761"/>
      <w:bookmarkStart w:id="4" w:name="_Toc377982317"/>
      <w:bookmarkStart w:id="5" w:name="_Toc324678925"/>
      <w:bookmarkStart w:id="6" w:name="_Toc147282124"/>
      <w:r>
        <w:rPr>
          <w:rFonts w:hint="eastAsia" w:ascii="宋体" w:hAnsi="宋体" w:eastAsia="宋体" w:cs="宋体"/>
          <w:b/>
          <w:bCs/>
          <w:color w:val="auto"/>
          <w:sz w:val="24"/>
          <w:highlight w:val="none"/>
        </w:rPr>
        <w:t>1. 适用范围</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“招标代理机构”系指接受比选人委托，从事招标代理业务的企业法人。</w:t>
      </w:r>
    </w:p>
    <w:p>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招标代理机构名称：</w:t>
      </w:r>
      <w:r>
        <w:rPr>
          <w:rFonts w:hint="eastAsia" w:ascii="宋体" w:hAnsi="宋体" w:eastAsia="宋体" w:cs="宋体"/>
          <w:b/>
          <w:bCs/>
          <w:color w:val="auto"/>
          <w:sz w:val="24"/>
          <w:highlight w:val="none"/>
          <w:lang w:eastAsia="zh-CN"/>
        </w:rPr>
        <w:t>江西方正招标代理有限公司</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不论参选的结果如何，参选人应自行承担所有与准备和参加参选有关的全部费用。招标代理机构和比选人在任何情况下均无义务和责任承担这些费用。</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参选文件格式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w:t>
      </w:r>
      <w:r>
        <w:rPr>
          <w:rFonts w:hint="eastAsia" w:ascii="宋体" w:hAnsi="宋体" w:cs="宋体"/>
          <w:color w:val="auto"/>
          <w:sz w:val="24"/>
          <w:highlight w:val="none"/>
          <w:lang w:eastAsia="zh-CN"/>
        </w:rPr>
        <w:t>获取</w:t>
      </w:r>
      <w:r>
        <w:rPr>
          <w:rFonts w:hint="eastAsia" w:ascii="宋体" w:hAnsi="宋体" w:eastAsia="宋体" w:cs="宋体"/>
          <w:color w:val="auto"/>
          <w:sz w:val="24"/>
          <w:highlight w:val="none"/>
        </w:rPr>
        <w:t>比选文件后，对比选文件如有疑问，应在递交参选文件截止时间前，将提疑文件（加盖单位公章）扫描件发送至指定电子邮箱。比选人（或招标代理机构）收到提疑文件后及时作出答复，答复中不标明问题的来源。</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w:t>
      </w:r>
      <w:r>
        <w:rPr>
          <w:rFonts w:hint="eastAsia" w:ascii="宋体" w:hAnsi="宋体" w:cs="宋体"/>
          <w:color w:val="auto"/>
          <w:sz w:val="24"/>
          <w:highlight w:val="none"/>
          <w:lang w:eastAsia="zh-CN"/>
        </w:rPr>
        <w:t>南昌市红谷滩城市投资集团有限公司网站(网址：http://www.hgtct.com)</w:t>
      </w:r>
      <w:r>
        <w:rPr>
          <w:rFonts w:hint="eastAsia" w:ascii="宋体" w:hAnsi="宋体" w:eastAsia="宋体" w:cs="宋体"/>
          <w:color w:val="auto"/>
          <w:sz w:val="24"/>
          <w:highlight w:val="none"/>
        </w:rPr>
        <w:t>，比选文件的答疑作为比选文件的组成部分。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w:t>
      </w:r>
      <w:r>
        <w:rPr>
          <w:rFonts w:hint="eastAsia" w:ascii="宋体" w:hAnsi="宋体" w:cs="宋体"/>
          <w:color w:val="auto"/>
          <w:sz w:val="24"/>
          <w:highlight w:val="none"/>
          <w:lang w:eastAsia="zh-CN"/>
        </w:rPr>
        <w:t>南昌市红谷滩城市投资集团有限公司网站(网址：http://www.hgtct.com)</w:t>
      </w:r>
      <w:r>
        <w:rPr>
          <w:rFonts w:hint="eastAsia" w:ascii="宋体" w:hAnsi="宋体" w:eastAsia="宋体" w:cs="宋体"/>
          <w:color w:val="auto"/>
          <w:sz w:val="24"/>
          <w:highlight w:val="none"/>
        </w:rPr>
        <w:t>，比选文件的修改作为比选文件的组成部分。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pPr>
        <w:pStyle w:val="47"/>
        <w:pageBreakBefore w:val="0"/>
        <w:kinsoku/>
        <w:overflowPunct/>
        <w:topLinePunct w:val="0"/>
        <w:bidi w:val="0"/>
        <w:spacing w:line="360" w:lineRule="auto"/>
        <w:rPr>
          <w:rFonts w:hint="eastAsia" w:ascii="宋体" w:hAnsi="宋体" w:eastAsia="宋体" w:cs="宋体"/>
          <w:color w:val="auto"/>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比选人设定的招标</w:t>
      </w:r>
      <w:r>
        <w:rPr>
          <w:rFonts w:hint="eastAsia" w:ascii="宋体" w:hAnsi="宋体" w:eastAsia="宋体" w:cs="宋体"/>
          <w:bCs/>
          <w:color w:val="auto"/>
          <w:kern w:val="2"/>
          <w:sz w:val="24"/>
          <w:szCs w:val="24"/>
          <w:highlight w:val="none"/>
          <w:lang w:eastAsia="zh-CN"/>
        </w:rPr>
        <w:t>要约</w:t>
      </w:r>
      <w:r>
        <w:rPr>
          <w:rFonts w:hint="eastAsia" w:ascii="宋体" w:hAnsi="宋体" w:eastAsia="宋体" w:cs="宋体"/>
          <w:bCs/>
          <w:color w:val="auto"/>
          <w:kern w:val="2"/>
          <w:sz w:val="24"/>
          <w:szCs w:val="24"/>
          <w:highlight w:val="none"/>
        </w:rPr>
        <w:t>价</w:t>
      </w:r>
      <w:r>
        <w:rPr>
          <w:rFonts w:hint="eastAsia" w:hAnsi="宋体" w:cs="宋体"/>
          <w:bCs/>
          <w:color w:val="auto"/>
          <w:kern w:val="2"/>
          <w:sz w:val="24"/>
          <w:szCs w:val="24"/>
          <w:highlight w:val="none"/>
          <w:u w:val="single"/>
          <w:lang w:val="en-US" w:eastAsia="zh-CN"/>
        </w:rPr>
        <w:t xml:space="preserve">450430.00 </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ascii="宋体" w:hAnsi="宋体" w:eastAsia="宋体" w:cs="宋体"/>
          <w:bCs/>
          <w:color w:val="auto"/>
          <w:kern w:val="2"/>
          <w:sz w:val="24"/>
          <w:szCs w:val="24"/>
          <w:highlight w:val="none"/>
          <w:lang w:eastAsia="zh-CN"/>
        </w:rPr>
        <w:t>必须响应招标要约</w:t>
      </w:r>
      <w:r>
        <w:rPr>
          <w:rFonts w:hint="eastAsia" w:ascii="宋体" w:hAnsi="宋体" w:eastAsia="宋体" w:cs="宋体"/>
          <w:bCs/>
          <w:color w:val="auto"/>
          <w:kern w:val="2"/>
          <w:sz w:val="24"/>
          <w:szCs w:val="24"/>
          <w:highlight w:val="none"/>
        </w:rPr>
        <w:t>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文件按正、副本分别装订成册（正本一份，副本贰份），在每个文本封面上标明“正本、副本”，以及项目名称、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文件（正本一份，副本贰份）装入文件袋中，且在文件袋上正面标明注明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19.2 招标代理机构推迟参选递交参选文件截止时间的，应以书面形式通知所有参选人。在这种情况下，招标代理机构、比选人和参选人受递交参选文件截止时间制约的所有权利和义务均应延长至新的递交参选文件截止时间。</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参选文件未按比选文件要求签署、密封及标记的，以及在递交参选文件截止时间以后送达的参选文件（含原件），招标代理机构有权拒收。</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pPr>
        <w:pStyle w:val="47"/>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22.1招标代理机构在比选公告中规定的时间、地点主持公开比选活动。</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比选时，招标代理机构将宣读参选人名称、参选报价内容。招标代理机构将做比选记录，只有比选时唱出的参选声明，在评审时才予以考虑。</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与招标代理机构和比选人的接触</w:t>
      </w:r>
      <w:bookmarkEnd w:id="31"/>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除按本须知规定的外，从递交参选文件截止时间起至授予合同期间，参选人不得就其参选有关的事项与招标代理机构、比选人、比选小组接触。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w:t>
      </w:r>
      <w:r>
        <w:rPr>
          <w:rFonts w:hint="eastAsia" w:ascii="宋体" w:hAnsi="宋体" w:cs="宋体"/>
          <w:color w:val="auto"/>
          <w:sz w:val="24"/>
          <w:highlight w:val="none"/>
          <w:lang w:eastAsia="zh-CN"/>
        </w:rPr>
        <w:t>南昌市红谷滩城市投资集团有限公司网站(网址：http://www.hgtct.com)</w:t>
      </w:r>
      <w:r>
        <w:rPr>
          <w:rFonts w:hint="eastAsia" w:ascii="宋体" w:hAnsi="宋体" w:eastAsia="宋体" w:cs="宋体"/>
          <w:color w:val="auto"/>
          <w:sz w:val="24"/>
          <w:highlight w:val="none"/>
        </w:rPr>
        <w:t>公示中选候选人，公示期为1日。参选人对评审结果有异议的，应当在公示期间以书面形式（法定代表人或授权代理人签字并加盖单位公章）提出。</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31.1中选人确定后，招标代理机构向中选人发出中选通知书。</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中选人在领取中选通知书时，向招标代理机构一次性支付（代理报酬的金额或收取比例按比选人与招标代理机构签订的《招标代理合同》约定执行）。</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pPr>
        <w:pStyle w:val="47"/>
        <w:pageBreakBefore w:val="0"/>
        <w:kinsoku/>
        <w:overflowPunct/>
        <w:topLinePunct w:val="0"/>
        <w:bidi w:val="0"/>
        <w:rPr>
          <w:rFonts w:hint="eastAsia" w:ascii="宋体" w:hAnsi="宋体" w:eastAsia="宋体" w:cs="宋体"/>
          <w:color w:val="auto"/>
          <w:highlight w:val="none"/>
        </w:rPr>
      </w:pPr>
    </w:p>
    <w:p>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eastAsia="宋体" w:cs="宋体"/>
          <w:color w:val="auto"/>
          <w:sz w:val="24"/>
          <w:highlight w:val="none"/>
          <w:lang w:eastAsia="zh-CN"/>
        </w:rPr>
        <w:t>江西方正招标代理有限公司</w:t>
      </w:r>
      <w:r>
        <w:rPr>
          <w:rFonts w:hint="eastAsia" w:ascii="宋体" w:hAnsi="宋体" w:eastAsia="宋体" w:cs="宋体"/>
          <w:color w:val="auto"/>
          <w:sz w:val="24"/>
          <w:highlight w:val="none"/>
        </w:rPr>
        <w:t>,电话：</w:t>
      </w:r>
      <w:r>
        <w:rPr>
          <w:rFonts w:hint="eastAsia" w:ascii="宋体" w:hAnsi="宋体" w:eastAsia="宋体" w:cs="宋体"/>
          <w:color w:val="auto"/>
          <w:kern w:val="0"/>
          <w:sz w:val="24"/>
          <w:highlight w:val="none"/>
          <w:lang w:val="en-US" w:eastAsia="zh-CN"/>
        </w:rPr>
        <w:t>13979179876</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p>
    <w:p>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pPr>
        <w:pageBreakBefore w:val="0"/>
        <w:kinsoku/>
        <w:overflowPunct/>
        <w:topLinePunct w:val="0"/>
        <w:bidi w:val="0"/>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pPr>
        <w:pageBreakBefore w:val="0"/>
        <w:kinsoku/>
        <w:overflowPunct/>
        <w:topLinePunct w:val="0"/>
        <w:autoSpaceDE w:val="0"/>
        <w:autoSpaceDN w:val="0"/>
        <w:bidi w:val="0"/>
        <w:adjustRightInd w:val="0"/>
        <w:snapToGrid w:val="0"/>
        <w:spacing w:line="360" w:lineRule="exact"/>
        <w:outlineLvl w:val="1"/>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00" w:lineRule="exact"/>
        <w:ind w:firstLine="561"/>
        <w:outlineLvl w:val="2"/>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w:t>
      </w:r>
    </w:p>
    <w:p>
      <w:pPr>
        <w:pageBreakBefore w:val="0"/>
        <w:kinsoku/>
        <w:overflowPunct/>
        <w:topLinePunct w:val="0"/>
        <w:autoSpaceDE w:val="0"/>
        <w:autoSpaceDN w:val="0"/>
        <w:bidi w:val="0"/>
        <w:adjustRightInd w:val="0"/>
        <w:snapToGrid w:val="0"/>
        <w:spacing w:line="420" w:lineRule="exact"/>
        <w:outlineLvl w:val="1"/>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eastAsia="宋体" w:cs="宋体"/>
                <w:color w:val="auto"/>
                <w:sz w:val="24"/>
                <w:szCs w:val="24"/>
                <w:highlight w:val="none"/>
              </w:rPr>
              <w:t>采购预算和最高限价</w:t>
            </w:r>
            <w:r>
              <w:rPr>
                <w:rFonts w:hint="eastAsia" w:ascii="宋体" w:hAnsi="宋体" w:eastAsia="宋体" w:cs="宋体"/>
                <w:bCs/>
                <w:color w:val="auto"/>
                <w:sz w:val="24"/>
                <w:szCs w:val="24"/>
                <w:highlight w:val="none"/>
              </w:rPr>
              <w:t>的</w:t>
            </w:r>
          </w:p>
        </w:tc>
        <w:tc>
          <w:tcPr>
            <w:tcW w:w="1555" w:type="dxa"/>
            <w:noWrap w:val="0"/>
            <w:vAlign w:val="center"/>
          </w:tcPr>
          <w:p>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报价响应要约价的，得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0分。未响应要约价的，将被视为不响应招标文件的实质性要求，作无效标处理。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参选人自本项目开标时间前 3 年内（以合同签订时间为准）承揽过本项目类似项目，每具有一份业绩加 1分，最多加5分。 </w:t>
            </w:r>
          </w:p>
          <w:p>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w:t>
            </w:r>
            <w:r>
              <w:rPr>
                <w:rFonts w:hint="eastAsia" w:ascii="宋体" w:hAnsi="宋体" w:cs="宋体"/>
                <w:color w:val="auto"/>
                <w:kern w:val="0"/>
                <w:sz w:val="24"/>
                <w:szCs w:val="24"/>
                <w:highlight w:val="none"/>
                <w:lang w:val="en-US" w:eastAsia="zh-CN" w:bidi="ar"/>
              </w:rPr>
              <w:t>方案</w:t>
            </w:r>
            <w:r>
              <w:rPr>
                <w:rFonts w:hint="eastAsia" w:ascii="宋体" w:hAnsi="宋体" w:eastAsia="宋体" w:cs="宋体"/>
                <w:color w:val="auto"/>
                <w:kern w:val="0"/>
                <w:sz w:val="24"/>
                <w:szCs w:val="24"/>
                <w:highlight w:val="none"/>
                <w:lang w:val="en-US" w:eastAsia="zh-CN" w:bidi="ar"/>
              </w:rPr>
              <w:t xml:space="preserve">                               （5分)</w:t>
            </w:r>
          </w:p>
        </w:tc>
        <w:tc>
          <w:tcPr>
            <w:tcW w:w="7304" w:type="dxa"/>
            <w:noWrap w:val="0"/>
            <w:vAlign w:val="center"/>
          </w:tcPr>
          <w:p>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投标人须提供服务方案包含但不限于：①服务内容②服务方式③ </w:t>
            </w:r>
          </w:p>
          <w:p>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服务响应措施④服务组织安排； </w:t>
            </w:r>
          </w:p>
          <w:p>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内容表述切实合理可行，响应快，组织安排合理，可执行性强的 </w:t>
            </w:r>
          </w:p>
          <w:p>
            <w:pPr>
              <w:spacing w:line="400" w:lineRule="exac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得 </w:t>
            </w:r>
            <w:r>
              <w:rPr>
                <w:rFonts w:hint="eastAsia" w:ascii="宋体" w:hAnsi="宋体" w:cs="宋体"/>
                <w:color w:val="auto"/>
                <w:kern w:val="0"/>
                <w:sz w:val="24"/>
                <w:szCs w:val="24"/>
                <w:highlight w:val="none"/>
                <w:lang w:val="en-US" w:eastAsia="zh-CN" w:bidi="ar"/>
              </w:rPr>
              <w:t>5</w:t>
            </w:r>
            <w:r>
              <w:rPr>
                <w:rFonts w:hint="eastAsia" w:ascii="宋体" w:hAnsi="宋体" w:eastAsia="宋体" w:cs="宋体"/>
                <w:color w:val="auto"/>
                <w:kern w:val="0"/>
                <w:sz w:val="24"/>
                <w:szCs w:val="24"/>
                <w:highlight w:val="none"/>
                <w:lang w:val="en-US" w:eastAsia="zh-CN" w:bidi="ar"/>
              </w:rPr>
              <w:t>分；内容表述基本合理可行，响应较快，组织安排基本合理，可执行性较强的得 3 分；内容表述合理一般可行，响应一般，组织安排一般，可执行性一般的得 1 分。</w:t>
            </w:r>
          </w:p>
          <w:p>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评审依据：</w:t>
            </w:r>
            <w:r>
              <w:rPr>
                <w:rFonts w:hint="eastAsia" w:ascii="宋体" w:hAnsi="宋体" w:cs="宋体"/>
                <w:b/>
                <w:bCs/>
                <w:color w:val="auto"/>
                <w:kern w:val="0"/>
                <w:sz w:val="24"/>
                <w:szCs w:val="24"/>
                <w:highlight w:val="none"/>
                <w:lang w:val="en-US" w:eastAsia="zh-CN" w:bidi="ar"/>
              </w:rPr>
              <w:t>根据</w:t>
            </w:r>
            <w:r>
              <w:rPr>
                <w:rFonts w:hint="eastAsia" w:ascii="宋体" w:hAnsi="宋体" w:eastAsia="宋体" w:cs="宋体"/>
                <w:b/>
                <w:bCs/>
                <w:color w:val="auto"/>
                <w:kern w:val="0"/>
                <w:sz w:val="24"/>
                <w:szCs w:val="24"/>
                <w:highlight w:val="none"/>
                <w:lang w:val="en-US" w:eastAsia="zh-CN" w:bidi="ar"/>
              </w:rPr>
              <w:t>参选文件中提供的售后服务</w:t>
            </w:r>
            <w:r>
              <w:rPr>
                <w:rFonts w:hint="eastAsia" w:ascii="宋体" w:hAnsi="宋体" w:cs="宋体"/>
                <w:b/>
                <w:bCs/>
                <w:color w:val="auto"/>
                <w:kern w:val="0"/>
                <w:sz w:val="24"/>
                <w:szCs w:val="24"/>
                <w:highlight w:val="none"/>
                <w:lang w:val="en-US" w:eastAsia="zh-CN" w:bidi="ar"/>
              </w:rPr>
              <w:t>方案计分</w:t>
            </w:r>
            <w:r>
              <w:rPr>
                <w:rFonts w:hint="eastAsia" w:ascii="宋体" w:hAnsi="宋体" w:eastAsia="宋体" w:cs="宋体"/>
                <w:b/>
                <w:bCs/>
                <w:color w:val="auto"/>
                <w:kern w:val="0"/>
                <w:sz w:val="24"/>
                <w:szCs w:val="24"/>
                <w:highlight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pPr>
              <w:tabs>
                <w:tab w:val="left" w:pos="2940"/>
              </w:tabs>
              <w:spacing w:line="420" w:lineRule="auto"/>
              <w:jc w:val="center"/>
              <w:rPr>
                <w:rFonts w:hint="eastAsia" w:ascii="宋体" w:hAnsi="宋体" w:eastAsia="宋体" w:cs="宋体"/>
                <w:color w:val="auto"/>
                <w:sz w:val="24"/>
                <w:szCs w:val="24"/>
                <w:highlight w:val="none"/>
              </w:rPr>
            </w:pPr>
          </w:p>
          <w:p>
            <w:pPr>
              <w:tabs>
                <w:tab w:val="left" w:pos="2940"/>
              </w:tabs>
              <w:spacing w:line="420" w:lineRule="auto"/>
              <w:jc w:val="center"/>
              <w:rPr>
                <w:rFonts w:hint="eastAsia" w:ascii="宋体" w:hAnsi="宋体" w:eastAsia="宋体" w:cs="宋体"/>
                <w:color w:val="auto"/>
                <w:sz w:val="24"/>
                <w:szCs w:val="24"/>
                <w:highlight w:val="none"/>
              </w:rPr>
            </w:pPr>
          </w:p>
          <w:p>
            <w:pPr>
              <w:tabs>
                <w:tab w:val="left" w:pos="2940"/>
              </w:tabs>
              <w:spacing w:line="420" w:lineRule="auto"/>
              <w:jc w:val="center"/>
              <w:rPr>
                <w:rFonts w:hint="eastAsia" w:ascii="宋体" w:hAnsi="宋体" w:eastAsia="宋体" w:cs="宋体"/>
                <w:color w:val="auto"/>
                <w:sz w:val="24"/>
                <w:szCs w:val="24"/>
                <w:highlight w:val="none"/>
              </w:rPr>
            </w:pPr>
          </w:p>
          <w:p>
            <w:pPr>
              <w:pStyle w:val="26"/>
              <w:rPr>
                <w:rFonts w:hint="eastAsia" w:ascii="宋体" w:hAnsi="宋体" w:eastAsia="宋体" w:cs="宋体"/>
                <w:color w:val="auto"/>
                <w:highlight w:val="none"/>
              </w:rPr>
            </w:pPr>
          </w:p>
          <w:p>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0分</w:t>
            </w:r>
          </w:p>
        </w:tc>
        <w:tc>
          <w:tcPr>
            <w:tcW w:w="1190"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7304" w:type="dxa"/>
            <w:noWrap w:val="0"/>
            <w:vAlign w:val="center"/>
          </w:tcPr>
          <w:p>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文件第四章中“服务</w:t>
            </w:r>
            <w:r>
              <w:rPr>
                <w:rFonts w:hint="eastAsia" w:ascii="宋体" w:hAnsi="宋体" w:eastAsia="宋体" w:cs="宋体"/>
                <w:color w:val="auto"/>
                <w:sz w:val="24"/>
                <w:szCs w:val="24"/>
                <w:highlight w:val="none"/>
                <w:lang w:val="en-US" w:eastAsia="zh-CN"/>
              </w:rPr>
              <w:t>需求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分，任意一项不满足作无效响应处理。</w:t>
            </w:r>
          </w:p>
          <w:p>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中的服务需求响应、偏离表计分。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pPr>
              <w:spacing w:line="420" w:lineRule="exact"/>
              <w:jc w:val="both"/>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 xml:space="preserve">服务方案 </w:t>
            </w:r>
          </w:p>
          <w:p>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为保障货物运输，供应商提供的运输方案包括但不限于安全保障措施和质量保障措施。</w:t>
            </w:r>
          </w:p>
          <w:p>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安全保障措施有完整的安全管理制度和有效的安全防护制度得10分；有较完整的安全管理制度和较有效的安全防护制度得5分；一般性得2分；</w:t>
            </w:r>
          </w:p>
          <w:p>
            <w:pPr>
              <w:tabs>
                <w:tab w:val="left" w:pos="0"/>
                <w:tab w:val="left" w:pos="265"/>
              </w:tabs>
              <w:autoSpaceDE w:val="0"/>
              <w:autoSpaceDN w:val="0"/>
              <w:adjustRightInd w:val="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质量保障有完整的质量管理体系的得10分；有较完整的管理体系得5分，一般性的得2分。</w:t>
            </w:r>
          </w:p>
          <w:p>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eastAsia="宋体" w:cs="宋体"/>
                <w:b/>
                <w:bCs/>
                <w:color w:val="auto"/>
                <w:sz w:val="24"/>
                <w:szCs w:val="24"/>
                <w:highlight w:val="none"/>
                <w:lang w:eastAsia="zh-CN"/>
              </w:rPr>
              <w:t>服务方案</w:t>
            </w:r>
            <w:r>
              <w:rPr>
                <w:rFonts w:hint="eastAsia" w:ascii="宋体" w:hAnsi="宋体" w:eastAsia="宋体" w:cs="宋体"/>
                <w:b/>
                <w:bCs/>
                <w:color w:val="auto"/>
                <w:sz w:val="24"/>
                <w:szCs w:val="24"/>
                <w:highlight w:val="none"/>
              </w:rPr>
              <w:t>计分。</w:t>
            </w:r>
          </w:p>
        </w:tc>
      </w:tr>
    </w:tbl>
    <w:p>
      <w:pPr>
        <w:pStyle w:val="7"/>
        <w:pageBreakBefore w:val="0"/>
        <w:kinsoku/>
        <w:overflowPunct/>
        <w:topLinePunct w:val="0"/>
        <w:bidi w:val="0"/>
        <w:rPr>
          <w:rFonts w:hint="eastAsia" w:ascii="宋体" w:hAnsi="宋体" w:eastAsia="宋体" w:cs="宋体"/>
          <w:b/>
          <w:bCs/>
          <w:color w:val="auto"/>
          <w:sz w:val="32"/>
          <w:szCs w:val="32"/>
          <w:highlight w:val="none"/>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lang w:eastAsia="zh-CN"/>
        </w:rPr>
      </w:pPr>
    </w:p>
    <w:p>
      <w:pPr>
        <w:rPr>
          <w:rFonts w:hint="eastAsia" w:ascii="宋体" w:hAnsi="宋体" w:eastAsia="宋体" w:cs="宋体"/>
          <w:color w:val="auto"/>
          <w:highlight w:val="none"/>
          <w:lang w:eastAsia="zh-CN"/>
        </w:rPr>
      </w:pPr>
    </w:p>
    <w:p>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bookmarkStart w:id="35" w:name="_Toc4335"/>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pPr>
        <w:numPr>
          <w:ilvl w:val="0"/>
          <w:numId w:val="0"/>
        </w:num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一、招标要约价清单</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1093"/>
        <w:gridCol w:w="1064"/>
        <w:gridCol w:w="800"/>
        <w:gridCol w:w="932"/>
        <w:gridCol w:w="995"/>
        <w:gridCol w:w="587"/>
        <w:gridCol w:w="1036"/>
        <w:gridCol w:w="20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材料名称</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含税单价</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税率</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总价</w:t>
            </w:r>
          </w:p>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（元）</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碎石（综合）</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级配碎石</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470.00 </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160.0 </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75200.00 </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道路工程级配碎石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商品砼</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C25，1-3碎石，非泵送</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510.00 </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470.0 </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239700.00 </w:t>
            </w:r>
          </w:p>
        </w:tc>
        <w:tc>
          <w:tcPr>
            <w:tcW w:w="1122"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挡墙压顶、沥青道路混凝土基层、岗亭基础、车档基础、排水混凝土检查井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商品砼</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C15，1-3碎石，泵送</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55.00 </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452.0 </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24860.00 </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道路工程挡墙，</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含泵送费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商品砼</w:t>
            </w:r>
          </w:p>
        </w:tc>
        <w:tc>
          <w:tcPr>
            <w:tcW w:w="5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C30，1-3碎石，泵送</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5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217.00 </w:t>
            </w:r>
          </w:p>
        </w:tc>
        <w:tc>
          <w:tcPr>
            <w:tcW w:w="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510.0 </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110670.00 </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道路工程挡墙，</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含泵送费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3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总价（元）：</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450430.00 </w:t>
            </w:r>
          </w:p>
        </w:tc>
        <w:tc>
          <w:tcPr>
            <w:tcW w:w="112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2" w:hRule="atLeast"/>
        </w:trPr>
        <w:tc>
          <w:tcPr>
            <w:tcW w:w="5000" w:type="pct"/>
            <w:gridSpan w:val="9"/>
            <w:tcBorders>
              <w:top w:val="single" w:color="000000"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备注：1、以上含税单价均包括运、装卸到场费用；</w:t>
            </w:r>
          </w:p>
          <w:p>
            <w:pPr>
              <w:keepNext w:val="0"/>
              <w:keepLines w:val="0"/>
              <w:widowControl/>
              <w:suppressLineNumbers w:val="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 xml:space="preserve">      2、招标数量为按设计图纸理论计量，结算按实调整；</w:t>
            </w:r>
          </w:p>
          <w:p>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      3、暂估价材料结算据实调整。</w:t>
            </w:r>
          </w:p>
        </w:tc>
      </w:tr>
    </w:tbl>
    <w:p>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p>
    <w:p>
      <w:pPr>
        <w:numPr>
          <w:ilvl w:val="0"/>
          <w:numId w:val="0"/>
        </w:numPr>
        <w:spacing w:line="360" w:lineRule="auto"/>
        <w:ind w:leftChars="0"/>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二、服务需求</w:t>
      </w:r>
    </w:p>
    <w:tbl>
      <w:tblPr>
        <w:tblStyle w:val="2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2"/>
        <w:gridCol w:w="1733"/>
        <w:gridCol w:w="1482"/>
        <w:gridCol w:w="996"/>
        <w:gridCol w:w="1106"/>
        <w:gridCol w:w="3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材料名称</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规格型号</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数量</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碎石（综合）</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级配碎石</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470.00 </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道路工程级配碎石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商品砼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C25，1-3碎石，非泵送</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510.00 </w:t>
            </w:r>
          </w:p>
        </w:tc>
        <w:tc>
          <w:tcPr>
            <w:tcW w:w="1711"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挡墙压顶、沥青道路混凝土基层、岗亭基础、车档基础、排水混凝土检查井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商品砼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C15，1-3碎石，泵送</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55.00 </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道路工程挡墙，</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含泵送费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9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商品砼</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C30，1-3碎石，泵送</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m3</w:t>
            </w:r>
          </w:p>
        </w:tc>
        <w:tc>
          <w:tcPr>
            <w:tcW w:w="6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217.00 </w:t>
            </w:r>
          </w:p>
        </w:tc>
        <w:tc>
          <w:tcPr>
            <w:tcW w:w="1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道路工程挡墙，</w:t>
            </w:r>
          </w:p>
          <w:p>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含泵送费</w:t>
            </w:r>
          </w:p>
        </w:tc>
      </w:tr>
    </w:tbl>
    <w:p>
      <w:pPr>
        <w:numPr>
          <w:ilvl w:val="0"/>
          <w:numId w:val="0"/>
        </w:numPr>
        <w:spacing w:line="360" w:lineRule="auto"/>
        <w:rPr>
          <w:rFonts w:hint="eastAsia" w:ascii="宋体" w:hAnsi="宋体" w:eastAsia="宋体" w:cs="宋体"/>
          <w:color w:val="auto"/>
          <w:sz w:val="32"/>
          <w:szCs w:val="32"/>
          <w:highlight w:val="none"/>
          <w:lang w:val="en-US" w:eastAsia="zh-CN"/>
        </w:rPr>
      </w:pPr>
    </w:p>
    <w:p>
      <w:pPr>
        <w:numPr>
          <w:ilvl w:val="0"/>
          <w:numId w:val="0"/>
        </w:numPr>
        <w:spacing w:line="360" w:lineRule="auto"/>
        <w:rPr>
          <w:rFonts w:hint="eastAsia" w:ascii="宋体" w:hAnsi="宋体" w:eastAsia="宋体" w:cs="宋体"/>
          <w:b/>
          <w:bCs/>
          <w:color w:val="auto"/>
          <w:sz w:val="32"/>
          <w:szCs w:val="32"/>
          <w:highlight w:val="none"/>
          <w:lang w:val="en-US" w:eastAsia="zh-CN"/>
        </w:rPr>
      </w:pPr>
    </w:p>
    <w:p>
      <w:pPr>
        <w:numPr>
          <w:ilvl w:val="0"/>
          <w:numId w:val="0"/>
        </w:numPr>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三、商务条款</w:t>
      </w:r>
    </w:p>
    <w:p>
      <w:pPr>
        <w:spacing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0"/>
          <w:sz w:val="28"/>
          <w:szCs w:val="28"/>
          <w:highlight w:val="none"/>
          <w:lang w:val="en-US" w:eastAsia="zh-CN"/>
        </w:rPr>
        <w:t>1、</w:t>
      </w:r>
      <w:r>
        <w:rPr>
          <w:rFonts w:hint="eastAsia" w:ascii="宋体" w:hAnsi="宋体" w:eastAsia="宋体" w:cs="宋体"/>
          <w:b w:val="0"/>
          <w:bCs w:val="0"/>
          <w:color w:val="auto"/>
          <w:kern w:val="0"/>
          <w:sz w:val="28"/>
          <w:szCs w:val="28"/>
          <w:highlight w:val="none"/>
        </w:rPr>
        <w:t>交货地点：</w:t>
      </w:r>
      <w:r>
        <w:rPr>
          <w:rFonts w:hint="eastAsia" w:ascii="宋体" w:hAnsi="宋体" w:eastAsia="宋体" w:cs="宋体"/>
          <w:b w:val="0"/>
          <w:bCs w:val="0"/>
          <w:color w:val="auto"/>
          <w:kern w:val="0"/>
          <w:sz w:val="28"/>
          <w:szCs w:val="28"/>
          <w:highlight w:val="none"/>
          <w:lang w:eastAsia="zh-CN"/>
        </w:rPr>
        <w:t>招标人指定地点</w:t>
      </w:r>
    </w:p>
    <w:p>
      <w:pPr>
        <w:spacing w:line="360" w:lineRule="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kern w:val="0"/>
          <w:sz w:val="28"/>
          <w:szCs w:val="28"/>
          <w:highlight w:val="none"/>
        </w:rPr>
        <w:t>2</w:t>
      </w:r>
      <w:r>
        <w:rPr>
          <w:rFonts w:hint="eastAsia" w:ascii="宋体" w:hAnsi="宋体" w:eastAsia="宋体" w:cs="宋体"/>
          <w:b w:val="0"/>
          <w:bCs w:val="0"/>
          <w:color w:val="auto"/>
          <w:kern w:val="0"/>
          <w:sz w:val="28"/>
          <w:szCs w:val="28"/>
          <w:highlight w:val="none"/>
          <w:lang w:eastAsia="zh-CN"/>
        </w:rPr>
        <w:t>、</w:t>
      </w:r>
      <w:r>
        <w:rPr>
          <w:rFonts w:hint="eastAsia" w:ascii="宋体" w:hAnsi="宋体" w:eastAsia="宋体" w:cs="宋体"/>
          <w:b w:val="0"/>
          <w:bCs w:val="0"/>
          <w:color w:val="auto"/>
          <w:kern w:val="0"/>
          <w:sz w:val="28"/>
          <w:szCs w:val="28"/>
          <w:highlight w:val="none"/>
          <w:lang w:val="en-US" w:eastAsia="zh-CN"/>
        </w:rPr>
        <w:t>交货期限</w:t>
      </w:r>
      <w:r>
        <w:rPr>
          <w:rFonts w:hint="eastAsia" w:ascii="宋体" w:hAnsi="宋体" w:eastAsia="宋体" w:cs="宋体"/>
          <w:b w:val="0"/>
          <w:bCs w:val="0"/>
          <w:color w:val="auto"/>
          <w:sz w:val="28"/>
          <w:szCs w:val="28"/>
          <w:highlight w:val="none"/>
          <w:lang w:eastAsia="zh-CN"/>
        </w:rPr>
        <w:t>：</w:t>
      </w:r>
      <w:r>
        <w:rPr>
          <w:rFonts w:hint="eastAsia" w:ascii="宋体" w:hAnsi="宋体" w:eastAsia="宋体" w:cs="宋体"/>
          <w:b w:val="0"/>
          <w:bCs w:val="0"/>
          <w:color w:val="auto"/>
          <w:sz w:val="28"/>
          <w:szCs w:val="28"/>
          <w:highlight w:val="none"/>
          <w:lang w:val="en-US" w:eastAsia="zh-CN"/>
        </w:rPr>
        <w:t>按甲方要求分批次供应</w:t>
      </w:r>
    </w:p>
    <w:p>
      <w:pPr>
        <w:keepNext w:val="0"/>
        <w:keepLines w:val="0"/>
        <w:widowControl/>
        <w:suppressLineNumbers w:val="0"/>
        <w:jc w:val="left"/>
        <w:rPr>
          <w:rFonts w:hint="eastAsia" w:ascii="宋体" w:hAnsi="宋体" w:eastAsia="宋体" w:cs="宋体"/>
          <w:b w:val="0"/>
          <w:bCs w:val="0"/>
          <w:color w:val="auto"/>
          <w:kern w:val="0"/>
          <w:sz w:val="28"/>
          <w:szCs w:val="28"/>
          <w:highlight w:val="none"/>
          <w:lang w:val="en-US" w:eastAsia="zh-CN" w:bidi="ar"/>
        </w:rPr>
      </w:pPr>
      <w:r>
        <w:rPr>
          <w:rFonts w:hint="eastAsia" w:ascii="宋体" w:hAnsi="宋体" w:eastAsia="宋体" w:cs="宋体"/>
          <w:b w:val="0"/>
          <w:bCs w:val="0"/>
          <w:i w:val="0"/>
          <w:iCs w:val="0"/>
          <w:color w:val="auto"/>
          <w:kern w:val="0"/>
          <w:sz w:val="28"/>
          <w:szCs w:val="28"/>
          <w:highlight w:val="none"/>
          <w:u w:val="none"/>
          <w:lang w:val="en-US" w:eastAsia="zh-CN" w:bidi="ar"/>
        </w:rPr>
        <w:t>3、评审依据：质量保证期：质量保证期为一年。</w:t>
      </w:r>
    </w:p>
    <w:p>
      <w:pPr>
        <w:pStyle w:val="10"/>
        <w:rPr>
          <w:rFonts w:hint="eastAsia" w:ascii="宋体" w:hAnsi="宋体" w:eastAsia="宋体" w:cs="宋体"/>
          <w:b w:val="0"/>
          <w:bCs w:val="0"/>
          <w:color w:val="auto"/>
          <w:kern w:val="0"/>
          <w:sz w:val="28"/>
          <w:szCs w:val="28"/>
          <w:highlight w:val="none"/>
          <w:lang w:val="en-US" w:eastAsia="zh-CN" w:bidi="ar"/>
        </w:rPr>
      </w:pPr>
      <w:bookmarkStart w:id="58" w:name="_GoBack"/>
      <w:r>
        <w:rPr>
          <w:rFonts w:hint="eastAsia" w:ascii="宋体" w:hAnsi="宋体" w:eastAsia="宋体" w:cs="宋体"/>
          <w:b w:val="0"/>
          <w:bCs w:val="0"/>
          <w:color w:val="auto"/>
          <w:kern w:val="0"/>
          <w:sz w:val="28"/>
          <w:szCs w:val="28"/>
          <w:highlight w:val="none"/>
          <w:lang w:val="en-US" w:eastAsia="zh-CN" w:bidi="ar"/>
        </w:rPr>
        <w:t>4、</w:t>
      </w:r>
      <w:r>
        <w:rPr>
          <w:rFonts w:hint="eastAsia" w:ascii="宋体" w:hAnsi="宋体" w:cs="宋体"/>
          <w:b w:val="0"/>
          <w:bCs w:val="0"/>
          <w:color w:val="auto"/>
          <w:kern w:val="0"/>
          <w:sz w:val="28"/>
          <w:szCs w:val="28"/>
          <w:highlight w:val="none"/>
          <w:lang w:val="en-US" w:eastAsia="zh-CN" w:bidi="ar"/>
        </w:rPr>
        <w:t>付款</w:t>
      </w:r>
      <w:r>
        <w:rPr>
          <w:rFonts w:hint="eastAsia" w:ascii="宋体" w:hAnsi="宋体" w:eastAsia="宋体" w:cs="宋体"/>
          <w:b w:val="0"/>
          <w:bCs w:val="0"/>
          <w:color w:val="auto"/>
          <w:kern w:val="0"/>
          <w:sz w:val="28"/>
          <w:szCs w:val="28"/>
          <w:highlight w:val="none"/>
          <w:lang w:val="en-US" w:eastAsia="zh-CN" w:bidi="ar"/>
        </w:rPr>
        <w:t>方式</w:t>
      </w:r>
      <w:r>
        <w:rPr>
          <w:rFonts w:hint="eastAsia" w:ascii="宋体" w:hAnsi="宋体" w:cs="宋体"/>
          <w:b w:val="0"/>
          <w:bCs w:val="0"/>
          <w:color w:val="auto"/>
          <w:kern w:val="0"/>
          <w:sz w:val="28"/>
          <w:szCs w:val="28"/>
          <w:highlight w:val="none"/>
          <w:lang w:val="en-US" w:eastAsia="zh-CN" w:bidi="ar"/>
        </w:rPr>
        <w:t>：</w:t>
      </w:r>
      <w:r>
        <w:rPr>
          <w:rFonts w:hint="eastAsia" w:ascii="宋体" w:hAnsi="宋体" w:eastAsia="宋体" w:cs="宋体"/>
          <w:b w:val="0"/>
          <w:bCs w:val="0"/>
          <w:color w:val="auto"/>
          <w:kern w:val="0"/>
          <w:sz w:val="28"/>
          <w:szCs w:val="28"/>
          <w:highlight w:val="none"/>
          <w:lang w:val="en-US" w:eastAsia="zh-CN" w:bidi="ar"/>
        </w:rPr>
        <w:t>甲、乙双方每月5日核对上月1-30日供货情况，并编制对账单，双方签字无误后供方于3个工作日内乙方开具增值税专用发票，甲方收到发票后于7个工作日内支付验收货款的</w:t>
      </w:r>
      <w:r>
        <w:rPr>
          <w:rFonts w:hint="eastAsia" w:ascii="宋体" w:hAnsi="宋体" w:cs="宋体"/>
          <w:b w:val="0"/>
          <w:bCs w:val="0"/>
          <w:color w:val="auto"/>
          <w:kern w:val="0"/>
          <w:sz w:val="28"/>
          <w:szCs w:val="28"/>
          <w:highlight w:val="none"/>
          <w:lang w:val="en-US" w:eastAsia="zh-CN" w:bidi="ar"/>
        </w:rPr>
        <w:t>8</w:t>
      </w:r>
      <w:r>
        <w:rPr>
          <w:rFonts w:hint="eastAsia" w:ascii="宋体" w:hAnsi="宋体" w:eastAsia="宋体" w:cs="宋体"/>
          <w:b w:val="0"/>
          <w:bCs w:val="0"/>
          <w:color w:val="auto"/>
          <w:kern w:val="0"/>
          <w:sz w:val="28"/>
          <w:szCs w:val="28"/>
          <w:highlight w:val="none"/>
          <w:lang w:val="en-US" w:eastAsia="zh-CN" w:bidi="ar"/>
        </w:rPr>
        <w:t>0%。</w:t>
      </w:r>
    </w:p>
    <w:bookmarkEnd w:id="58"/>
    <w:p>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bookmarkStart w:id="36" w:name="_Toc17144"/>
      <w:r>
        <w:rPr>
          <w:rFonts w:hint="eastAsia" w:ascii="宋体" w:hAnsi="宋体" w:eastAsia="宋体" w:cs="宋体"/>
          <w:b/>
          <w:color w:val="auto"/>
          <w:sz w:val="30"/>
          <w:szCs w:val="30"/>
          <w:highlight w:val="none"/>
        </w:rPr>
        <w:t xml:space="preserve">第五章 </w:t>
      </w:r>
      <w:r>
        <w:rPr>
          <w:rFonts w:hint="eastAsia" w:ascii="宋体" w:hAnsi="宋体" w:eastAsia="宋体" w:cs="宋体"/>
          <w:b/>
          <w:color w:val="auto"/>
          <w:sz w:val="30"/>
          <w:szCs w:val="30"/>
          <w:highlight w:val="none"/>
          <w:lang w:val="en-US" w:eastAsia="zh-CN"/>
        </w:rPr>
        <w:t xml:space="preserve"> </w:t>
      </w:r>
      <w:r>
        <w:rPr>
          <w:rFonts w:hint="eastAsia" w:ascii="宋体" w:hAnsi="宋体" w:eastAsia="宋体" w:cs="宋体"/>
          <w:b/>
          <w:color w:val="auto"/>
          <w:sz w:val="30"/>
          <w:szCs w:val="30"/>
          <w:highlight w:val="none"/>
        </w:rPr>
        <w:t>参选文件格式</w:t>
      </w:r>
      <w:bookmarkEnd w:id="36"/>
    </w:p>
    <w:p>
      <w:pPr>
        <w:pageBreakBefore w:val="0"/>
        <w:kinsoku/>
        <w:overflowPunct/>
        <w:topLinePunct w:val="0"/>
        <w:bidi w:val="0"/>
        <w:spacing w:line="360" w:lineRule="auto"/>
        <w:jc w:val="right"/>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pPr>
        <w:pageBreakBefore w:val="0"/>
        <w:kinsoku/>
        <w:overflowPunct/>
        <w:topLinePunct w:val="0"/>
        <w:bidi w:val="0"/>
        <w:spacing w:line="360" w:lineRule="auto"/>
        <w:jc w:val="center"/>
        <w:outlineLvl w:val="2"/>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ageBreakBefore w:val="0"/>
        <w:kinsoku/>
        <w:overflowPunct/>
        <w:topLinePunct w:val="0"/>
        <w:bidi w:val="0"/>
        <w:jc w:val="center"/>
        <w:rPr>
          <w:rFonts w:hint="eastAsia" w:ascii="宋体" w:hAnsi="宋体" w:eastAsia="宋体" w:cs="宋体"/>
          <w:color w:val="auto"/>
          <w:sz w:val="32"/>
          <w:szCs w:val="32"/>
          <w:highlight w:val="none"/>
        </w:rPr>
      </w:pPr>
    </w:p>
    <w:p>
      <w:pPr>
        <w:pStyle w:val="47"/>
        <w:pageBreakBefore w:val="0"/>
        <w:kinsoku/>
        <w:overflowPunct/>
        <w:topLinePunct w:val="0"/>
        <w:bidi w:val="0"/>
        <w:rPr>
          <w:rFonts w:hint="eastAsia" w:ascii="宋体" w:hAnsi="宋体" w:eastAsia="宋体" w:cs="宋体"/>
          <w:color w:val="auto"/>
          <w:sz w:val="32"/>
          <w:szCs w:val="32"/>
          <w:highlight w:val="none"/>
        </w:rPr>
      </w:pPr>
    </w:p>
    <w:p>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pPr>
        <w:pageBreakBefore w:val="0"/>
        <w:kinsoku/>
        <w:overflowPunct/>
        <w:topLinePunct w:val="0"/>
        <w:bidi w:val="0"/>
        <w:ind w:firstLine="964" w:firstLineChars="300"/>
        <w:outlineLvl w:val="0"/>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rPr>
          <w:rFonts w:hint="eastAsia" w:ascii="宋体" w:hAnsi="宋体" w:eastAsia="宋体" w:cs="宋体"/>
          <w:b/>
          <w:bCs/>
          <w:color w:val="auto"/>
          <w:sz w:val="30"/>
          <w:szCs w:val="30"/>
          <w:highlight w:val="none"/>
        </w:rPr>
      </w:pPr>
    </w:p>
    <w:p>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pPr>
        <w:pageBreakBefore w:val="0"/>
        <w:kinsoku/>
        <w:overflowPunct/>
        <w:topLinePunct w:val="0"/>
        <w:bidi w:val="0"/>
        <w:jc w:val="right"/>
        <w:rPr>
          <w:rFonts w:hint="eastAsia" w:ascii="宋体" w:hAnsi="宋体" w:eastAsia="宋体" w:cs="宋体"/>
          <w:b/>
          <w:bCs/>
          <w:color w:val="auto"/>
          <w:sz w:val="24"/>
          <w:highlight w:val="none"/>
        </w:rPr>
      </w:pP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pPr>
        <w:pageBreakBefore w:val="0"/>
        <w:kinsoku/>
        <w:overflowPunct/>
        <w:topLinePunct w:val="0"/>
        <w:bidi w:val="0"/>
        <w:spacing w:line="580" w:lineRule="exact"/>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highlight w:val="none"/>
        </w:rPr>
      </w:pPr>
    </w:p>
    <w:p>
      <w:pPr>
        <w:pStyle w:val="47"/>
        <w:pageBreakBefore w:val="0"/>
        <w:kinsoku/>
        <w:overflowPunct/>
        <w:topLinePunct w:val="0"/>
        <w:bidi w:val="0"/>
        <w:rPr>
          <w:rFonts w:hint="eastAsia" w:ascii="宋体" w:hAnsi="宋体" w:eastAsia="宋体" w:cs="宋体"/>
          <w:color w:val="auto"/>
          <w:highlight w:val="none"/>
        </w:rPr>
      </w:pPr>
    </w:p>
    <w:p>
      <w:pPr>
        <w:pStyle w:val="47"/>
        <w:pageBreakBefore w:val="0"/>
        <w:kinsoku/>
        <w:overflowPunct/>
        <w:topLinePunct w:val="0"/>
        <w:bidi w:val="0"/>
        <w:rPr>
          <w:rFonts w:hint="eastAsia" w:ascii="宋体" w:hAnsi="宋体" w:eastAsia="宋体" w:cs="宋体"/>
          <w:color w:val="auto"/>
          <w:highlight w:val="none"/>
        </w:rPr>
      </w:pPr>
    </w:p>
    <w:p>
      <w:pPr>
        <w:pStyle w:val="47"/>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4409075"/>
      <w:bookmarkStart w:id="46" w:name="_Toc323199452"/>
      <w:bookmarkStart w:id="47" w:name="_Toc346096038"/>
      <w:bookmarkStart w:id="48" w:name="_Toc344409279"/>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945" w:tblpY="34"/>
        <w:tblOverlap w:val="never"/>
        <w:tblW w:w="98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53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pPr>
              <w:jc w:val="center"/>
              <w:rPr>
                <w:rFonts w:hint="eastAsia" w:ascii="宋体" w:hAnsi="宋体" w:eastAsia="宋体" w:cs="宋体"/>
                <w:color w:val="auto"/>
                <w:sz w:val="24"/>
                <w:szCs w:val="24"/>
                <w:highlight w:val="none"/>
              </w:rPr>
            </w:pPr>
          </w:p>
        </w:tc>
        <w:tc>
          <w:tcPr>
            <w:tcW w:w="1407"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3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9814" w:type="dxa"/>
            <w:gridSpan w:val="8"/>
            <w:noWrap w:val="0"/>
            <w:vAlign w:val="top"/>
          </w:tcPr>
          <w:p>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pPr>
        <w:pStyle w:val="47"/>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未响应要约价的，将被视为不响应招标文件的实质性要求，作无效标处理。</w:t>
      </w:r>
    </w:p>
    <w:p>
      <w:pPr>
        <w:pStyle w:val="16"/>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分项报价表由招标人提供的招标要约价组成，参选人须附《招标要约价》所有内容。</w:t>
      </w:r>
    </w:p>
    <w:p>
      <w:pPr>
        <w:pageBreakBefore w:val="0"/>
        <w:kinsoku/>
        <w:overflowPunct/>
        <w:topLinePunct w:val="0"/>
        <w:bidi w:val="0"/>
        <w:spacing w:line="480" w:lineRule="auto"/>
        <w:jc w:val="both"/>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49"/>
        <w:pageBreakBefore w:val="0"/>
        <w:kinsoku/>
        <w:overflowPunct/>
        <w:topLinePunct w:val="0"/>
        <w:bidi w:val="0"/>
        <w:rPr>
          <w:rFonts w:hint="eastAsia" w:ascii="宋体" w:hAnsi="宋体" w:eastAsia="宋体" w:cs="宋体"/>
          <w:color w:val="auto"/>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5、服务需求响应/偏离表</w:t>
      </w:r>
      <w:bookmarkEnd w:id="51"/>
    </w:p>
    <w:p>
      <w:pPr>
        <w:pStyle w:val="10"/>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9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2184"/>
        <w:gridCol w:w="2184"/>
        <w:gridCol w:w="2184"/>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243"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184"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比选文件服务需求</w:t>
            </w:r>
          </w:p>
        </w:tc>
        <w:tc>
          <w:tcPr>
            <w:tcW w:w="2184"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参选文件实际服务内容及响应</w:t>
            </w:r>
          </w:p>
        </w:tc>
        <w:tc>
          <w:tcPr>
            <w:tcW w:w="2184"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响应/偏离</w:t>
            </w:r>
          </w:p>
        </w:tc>
        <w:tc>
          <w:tcPr>
            <w:tcW w:w="2184"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243"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243"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c>
          <w:tcPr>
            <w:tcW w:w="2184" w:type="dxa"/>
            <w:noWrap w:val="0"/>
            <w:vAlign w:val="center"/>
          </w:tcPr>
          <w:p>
            <w:pPr>
              <w:pStyle w:val="2"/>
              <w:pageBreakBefore w:val="0"/>
              <w:kinsoku/>
              <w:overflowPunct/>
              <w:topLinePunct w:val="0"/>
              <w:bidi w:val="0"/>
              <w:spacing w:line="300" w:lineRule="atLeast"/>
              <w:jc w:val="center"/>
              <w:outlineLvl w:val="9"/>
              <w:rPr>
                <w:rFonts w:hint="eastAsia" w:ascii="宋体" w:hAnsi="宋体" w:eastAsia="宋体" w:cs="宋体"/>
                <w:b w:val="0"/>
                <w:bCs w:val="0"/>
                <w:color w:val="auto"/>
                <w:sz w:val="24"/>
                <w:szCs w:val="24"/>
                <w:highlight w:val="none"/>
                <w:lang w:val="en-US" w:eastAsia="zh-CN"/>
              </w:rPr>
            </w:pPr>
          </w:p>
        </w:tc>
      </w:tr>
    </w:tbl>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Style w:val="2"/>
        <w:pageBreakBefore w:val="0"/>
        <w:kinsoku/>
        <w:overflowPunct/>
        <w:topLinePunct w:val="0"/>
        <w:bidi w:val="0"/>
        <w:outlineLvl w:val="9"/>
        <w:rPr>
          <w:rFonts w:hint="eastAsia" w:ascii="宋体" w:hAnsi="宋体" w:eastAsia="宋体" w:cs="宋体"/>
          <w:color w:val="auto"/>
          <w:sz w:val="24"/>
          <w:szCs w:val="24"/>
          <w:highlight w:val="none"/>
        </w:rPr>
      </w:pPr>
    </w:p>
    <w:p>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pPr>
        <w:pStyle w:val="10"/>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555"/>
        <w:gridCol w:w="2517"/>
        <w:gridCol w:w="1383"/>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555"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比选文件的商务条款</w:t>
            </w:r>
          </w:p>
        </w:tc>
        <w:tc>
          <w:tcPr>
            <w:tcW w:w="251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参选文件的商务条款</w:t>
            </w:r>
          </w:p>
        </w:tc>
        <w:tc>
          <w:tcPr>
            <w:tcW w:w="1383"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响应/偏离</w:t>
            </w:r>
          </w:p>
        </w:tc>
        <w:tc>
          <w:tcPr>
            <w:tcW w:w="1236"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1</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2</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3</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pPr>
              <w:pStyle w:val="2"/>
              <w:pageBreakBefore w:val="0"/>
              <w:kinsoku/>
              <w:overflowPunct/>
              <w:topLinePunct w:val="0"/>
              <w:bidi w:val="0"/>
              <w:spacing w:line="300" w:lineRule="atLeast"/>
              <w:jc w:val="center"/>
              <w:outlineLvl w:val="1"/>
              <w:rPr>
                <w:rFonts w:hint="eastAsia" w:ascii="宋体" w:hAnsi="宋体" w:eastAsia="宋体" w:cs="宋体"/>
                <w:color w:val="auto"/>
                <w:sz w:val="24"/>
                <w:highlight w:val="none"/>
              </w:rPr>
            </w:pPr>
            <w:r>
              <w:rPr>
                <w:rFonts w:hint="eastAsia" w:ascii="宋体" w:hAnsi="宋体" w:eastAsia="宋体" w:cs="宋体"/>
                <w:b w:val="0"/>
                <w:bCs w:val="0"/>
                <w:color w:val="auto"/>
                <w:sz w:val="24"/>
                <w:szCs w:val="24"/>
                <w:highlight w:val="none"/>
                <w:lang w:val="en-US" w:eastAsia="zh-CN"/>
              </w:rPr>
              <w:t>．．．</w:t>
            </w: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55"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2517"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383"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c>
          <w:tcPr>
            <w:tcW w:w="1236" w:type="dxa"/>
            <w:noWrap w:val="0"/>
            <w:vAlign w:val="center"/>
          </w:tcPr>
          <w:p>
            <w:pPr>
              <w:pageBreakBefore w:val="0"/>
              <w:kinsoku/>
              <w:overflowPunct/>
              <w:topLinePunct w:val="0"/>
              <w:bidi w:val="0"/>
              <w:spacing w:line="500" w:lineRule="exact"/>
              <w:jc w:val="center"/>
              <w:rPr>
                <w:rFonts w:hint="eastAsia" w:ascii="宋体" w:hAnsi="宋体" w:eastAsia="宋体" w:cs="宋体"/>
                <w:color w:val="auto"/>
                <w:sz w:val="24"/>
                <w:highlight w:val="none"/>
              </w:rPr>
            </w:pPr>
          </w:p>
        </w:tc>
      </w:tr>
    </w:tbl>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pPr>
        <w:pageBreakBefore w:val="0"/>
        <w:kinsoku/>
        <w:overflowPunct/>
        <w:topLinePunct w:val="0"/>
        <w:bidi w:val="0"/>
        <w:ind w:firstLine="480" w:firstLineChars="200"/>
        <w:jc w:val="left"/>
        <w:rPr>
          <w:rFonts w:hint="eastAsia" w:ascii="宋体" w:hAnsi="宋体" w:eastAsia="宋体" w:cs="宋体"/>
          <w:color w:val="auto"/>
          <w:sz w:val="24"/>
          <w:highlight w:val="none"/>
        </w:rPr>
      </w:pPr>
    </w:p>
    <w:p>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pPr>
        <w:pageBreakBefore w:val="0"/>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7.1 具有独立承担民事责任的能力；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在该单位开标前三个月内任意一个月的社保凭证）</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4"/>
          <w:highlight w:val="none"/>
        </w:rPr>
        <w:t>；</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pPr>
        <w:pageBreakBefore w:val="0"/>
        <w:kinsoku/>
        <w:overflowPunct/>
        <w:topLinePunct w:val="0"/>
        <w:bidi w:val="0"/>
        <w:jc w:val="center"/>
        <w:rPr>
          <w:rFonts w:hint="eastAsia" w:ascii="宋体" w:hAnsi="宋体" w:eastAsia="宋体" w:cs="宋体"/>
          <w:color w:val="auto"/>
          <w:sz w:val="24"/>
          <w:highlight w:val="none"/>
        </w:rPr>
      </w:pPr>
    </w:p>
    <w:p>
      <w:pPr>
        <w:pStyle w:val="2"/>
        <w:pageBreakBefore w:val="0"/>
        <w:kinsoku/>
        <w:overflowPunct/>
        <w:topLinePunct w:val="0"/>
        <w:bidi w:val="0"/>
        <w:outlineLvl w:val="9"/>
        <w:rPr>
          <w:rFonts w:hint="eastAsia" w:ascii="宋体" w:hAnsi="宋体" w:eastAsia="宋体" w:cs="宋体"/>
          <w:color w:val="auto"/>
          <w:highlight w:val="none"/>
        </w:rPr>
        <w:sectPr>
          <w:headerReference r:id="rId5" w:type="default"/>
          <w:footerReference r:id="rId6" w:type="default"/>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21</w:t>
      </w:r>
      <w:r>
        <w:rPr>
          <w:rFonts w:hint="eastAsia" w:ascii="宋体" w:hAnsi="宋体" w:eastAsia="宋体" w:cs="宋体"/>
          <w:b/>
          <w:bCs/>
          <w:color w:val="auto"/>
          <w:sz w:val="24"/>
          <w:highlight w:val="none"/>
        </w:rPr>
        <w:t>年（或202</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，原件备查。】</w:t>
      </w:r>
    </w:p>
    <w:p>
      <w:pPr>
        <w:pageBreakBefore w:val="0"/>
        <w:kinsoku/>
        <w:overflowPunct/>
        <w:topLinePunct w:val="0"/>
        <w:bidi w:val="0"/>
        <w:jc w:val="center"/>
        <w:rPr>
          <w:rFonts w:hint="eastAsia" w:ascii="宋体" w:hAnsi="宋体" w:eastAsia="宋体" w:cs="宋体"/>
          <w:color w:val="auto"/>
          <w:sz w:val="24"/>
          <w:highlight w:val="none"/>
        </w:rPr>
      </w:pPr>
    </w:p>
    <w:p>
      <w:pPr>
        <w:spacing w:before="94" w:line="224" w:lineRule="auto"/>
        <w:jc w:val="center"/>
        <w:rPr>
          <w:rFonts w:hint="eastAsia" w:ascii="宋体" w:hAnsi="宋体" w:eastAsia="宋体" w:cs="宋体"/>
          <w:b/>
          <w:bCs/>
          <w:color w:val="auto"/>
          <w:sz w:val="32"/>
          <w:szCs w:val="32"/>
          <w:highlight w:val="none"/>
        </w:rPr>
      </w:pPr>
    </w:p>
    <w:p>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pPr>
        <w:spacing w:line="286" w:lineRule="auto"/>
        <w:rPr>
          <w:rFonts w:hint="eastAsia" w:ascii="宋体" w:hAnsi="宋体" w:eastAsia="宋体" w:cs="宋体"/>
          <w:color w:val="auto"/>
          <w:sz w:val="24"/>
          <w:szCs w:val="24"/>
          <w:highlight w:val="none"/>
        </w:rPr>
      </w:pPr>
    </w:p>
    <w:p>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lang w:val="zh-CN" w:eastAsia="zh-CN"/>
        </w:rPr>
        <w:t>招标人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line="241"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spacing w:line="242" w:lineRule="auto"/>
        <w:rPr>
          <w:rFonts w:hint="eastAsia" w:ascii="宋体" w:hAnsi="宋体" w:eastAsia="宋体" w:cs="宋体"/>
          <w:color w:val="auto"/>
          <w:sz w:val="24"/>
          <w:szCs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专业技术能力的承诺函，原件备查。）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（采购人）      </w:t>
      </w:r>
    </w:p>
    <w:p>
      <w:pPr>
        <w:pageBreakBefore w:val="0"/>
        <w:kinsoku/>
        <w:overflowPunct/>
        <w:topLinePunct w:val="0"/>
        <w:bidi w:val="0"/>
        <w:jc w:val="center"/>
        <w:rPr>
          <w:rFonts w:hint="eastAsia" w:ascii="宋体" w:hAnsi="宋体" w:eastAsia="宋体" w:cs="宋体"/>
          <w:color w:val="auto"/>
          <w:sz w:val="24"/>
          <w:highlight w:val="none"/>
          <w:u w:val="single"/>
        </w:rPr>
      </w:pP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提供开标前三个月内任意一个月的社保缴纳证明和缴纳税收证明复印件加盖公章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，原件备查。</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spacing w:line="420" w:lineRule="exact"/>
        <w:ind w:firstLine="640" w:firstLineChars="200"/>
        <w:jc w:val="center"/>
        <w:rPr>
          <w:rFonts w:hint="eastAsia" w:ascii="宋体" w:hAnsi="宋体" w:eastAsia="宋体" w:cs="宋体"/>
          <w:b w:val="0"/>
          <w:bCs w:val="0"/>
          <w:color w:val="auto"/>
          <w:sz w:val="32"/>
          <w:szCs w:val="32"/>
          <w:highlight w:val="none"/>
        </w:rPr>
      </w:pPr>
    </w:p>
    <w:p>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具有依法缴纳税收和社会保障资金承诺函（格式）</w:t>
      </w:r>
    </w:p>
    <w:p>
      <w:pPr>
        <w:spacing w:line="287" w:lineRule="auto"/>
        <w:rPr>
          <w:rFonts w:hint="eastAsia" w:ascii="宋体" w:hAnsi="宋体" w:eastAsia="宋体" w:cs="宋体"/>
          <w:color w:val="auto"/>
          <w:sz w:val="24"/>
          <w:szCs w:val="24"/>
          <w:highlight w:val="none"/>
        </w:rPr>
      </w:pPr>
    </w:p>
    <w:p>
      <w:pPr>
        <w:spacing w:line="287" w:lineRule="auto"/>
        <w:rPr>
          <w:rFonts w:hint="eastAsia" w:ascii="宋体" w:hAnsi="宋体" w:eastAsia="宋体" w:cs="宋体"/>
          <w:color w:val="auto"/>
          <w:sz w:val="24"/>
          <w:szCs w:val="24"/>
          <w:highlight w:val="none"/>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lang w:val="zh-CN" w:eastAsia="zh-CN"/>
        </w:rPr>
        <w:t>招标人</w:t>
      </w:r>
      <w:r>
        <w:rPr>
          <w:rFonts w:hint="eastAsia" w:ascii="宋体" w:hAnsi="宋体" w:eastAsia="宋体" w:cs="宋体"/>
          <w:color w:val="auto"/>
          <w:sz w:val="24"/>
          <w:szCs w:val="24"/>
          <w:highlight w:val="none"/>
          <w:lang w:eastAsia="zh-CN"/>
        </w:rPr>
        <w:t>）</w:t>
      </w:r>
    </w:p>
    <w:p>
      <w:pPr>
        <w:spacing w:before="75" w:line="228" w:lineRule="auto"/>
        <w:rPr>
          <w:rFonts w:hint="eastAsia" w:ascii="宋体" w:hAnsi="宋体" w:eastAsia="宋体" w:cs="宋体"/>
          <w:color w:val="auto"/>
          <w:sz w:val="24"/>
          <w:szCs w:val="24"/>
          <w:highlight w:val="none"/>
          <w:lang w:eastAsia="zh-CN"/>
        </w:rPr>
      </w:pPr>
    </w:p>
    <w:p>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spacing w:before="75" w:line="228" w:lineRule="auto"/>
        <w:rPr>
          <w:rFonts w:hint="eastAsia" w:ascii="宋体" w:hAnsi="宋体" w:eastAsia="宋体" w:cs="宋体"/>
          <w:color w:val="auto"/>
          <w:sz w:val="24"/>
          <w:szCs w:val="24"/>
          <w:highlight w:val="none"/>
          <w:lang w:eastAsia="zh-CN"/>
        </w:rPr>
      </w:pPr>
    </w:p>
    <w:p>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eastAsia="宋体" w:cs="宋体"/>
          <w:color w:val="auto"/>
          <w:sz w:val="24"/>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 xml:space="preserve">： </w:t>
      </w:r>
    </w:p>
    <w:p>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ageBreakBefore w:val="0"/>
        <w:kinsoku/>
        <w:overflowPunct/>
        <w:topLinePunct w:val="0"/>
        <w:bidi w:val="0"/>
        <w:jc w:val="center"/>
        <w:rPr>
          <w:rFonts w:hint="eastAsia" w:ascii="宋体" w:hAnsi="宋体" w:eastAsia="宋体" w:cs="宋体"/>
          <w:color w:val="auto"/>
          <w:sz w:val="24"/>
          <w:highlight w:val="none"/>
          <w:lang w:val="en-GB"/>
        </w:rPr>
      </w:pPr>
    </w:p>
    <w:p>
      <w:pPr>
        <w:pStyle w:val="47"/>
        <w:pageBreakBefore w:val="0"/>
        <w:kinsoku/>
        <w:overflowPunct/>
        <w:topLinePunct w:val="0"/>
        <w:bidi w:val="0"/>
        <w:rPr>
          <w:rFonts w:hint="eastAsia" w:ascii="宋体" w:hAnsi="宋体" w:eastAsia="宋体" w:cs="宋体"/>
          <w:color w:val="auto"/>
          <w:sz w:val="24"/>
          <w:szCs w:val="24"/>
          <w:highlight w:val="none"/>
          <w:lang w:val="en-GB"/>
        </w:rPr>
      </w:pPr>
    </w:p>
    <w:p>
      <w:pPr>
        <w:pStyle w:val="10"/>
        <w:rPr>
          <w:rFonts w:hint="eastAsia" w:ascii="宋体" w:hAnsi="宋体" w:eastAsia="宋体" w:cs="宋体"/>
          <w:color w:val="auto"/>
          <w:highlight w:val="none"/>
        </w:rPr>
        <w:sectPr>
          <w:pgSz w:w="11906" w:h="16838"/>
          <w:pgMar w:top="1701" w:right="850" w:bottom="1134" w:left="850" w:header="851" w:footer="754" w:gutter="0"/>
          <w:pgNumType w:fmt="decimal"/>
          <w:cols w:space="720" w:num="1"/>
          <w:docGrid w:type="lines" w:linePitch="318" w:charSpace="0"/>
        </w:sectPr>
      </w:pPr>
    </w:p>
    <w:p>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(提供法定代表人证书或法定代表人授权委托书、被授权人身份证复印件加盖公章，原件备查。）</w:t>
      </w: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eastAsia="宋体" w:cs="宋体"/>
          <w:b/>
          <w:bCs/>
          <w:color w:val="auto"/>
          <w:sz w:val="28"/>
          <w:szCs w:val="28"/>
          <w:highlight w:val="none"/>
          <w:lang w:val="en-US" w:eastAsia="zh-CN"/>
        </w:rPr>
        <w:t>三个月内任意一个月</w:t>
      </w:r>
      <w:r>
        <w:rPr>
          <w:rFonts w:hint="eastAsia" w:ascii="宋体" w:hAnsi="宋体" w:eastAsia="宋体" w:cs="宋体"/>
          <w:b/>
          <w:bCs/>
          <w:color w:val="auto"/>
          <w:sz w:val="28"/>
          <w:szCs w:val="28"/>
          <w:highlight w:val="none"/>
        </w:rPr>
        <w:t>的社保凭证）</w:t>
      </w:r>
    </w:p>
    <w:p>
      <w:pPr>
        <w:pageBreakBefore w:val="0"/>
        <w:kinsoku/>
        <w:overflowPunct/>
        <w:topLinePunct w:val="0"/>
        <w:bidi w:val="0"/>
        <w:jc w:val="both"/>
        <w:rPr>
          <w:rFonts w:hint="eastAsia" w:ascii="宋体" w:hAnsi="宋体" w:eastAsia="宋体" w:cs="宋体"/>
          <w:bCs/>
          <w:color w:val="auto"/>
          <w:sz w:val="24"/>
          <w:highlight w:val="none"/>
        </w:rPr>
      </w:pPr>
    </w:p>
    <w:p>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pPr>
        <w:pageBreakBefore w:val="0"/>
        <w:kinsoku/>
        <w:overflowPunct/>
        <w:topLinePunct w:val="0"/>
        <w:bidi w:val="0"/>
        <w:jc w:val="center"/>
        <w:rPr>
          <w:rFonts w:hint="eastAsia" w:ascii="宋体" w:hAnsi="宋体" w:eastAsia="宋体" w:cs="宋体"/>
          <w:bCs/>
          <w:color w:val="auto"/>
          <w:sz w:val="24"/>
          <w:highlight w:val="none"/>
        </w:rPr>
      </w:pPr>
    </w:p>
    <w:p>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pPr>
        <w:pageBreakBefore w:val="0"/>
        <w:kinsoku/>
        <w:overflowPunct/>
        <w:topLinePunct w:val="0"/>
        <w:bidi w:val="0"/>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的投标人，不得参与本项目的比选活动</w:t>
      </w:r>
      <w:r>
        <w:rPr>
          <w:rFonts w:hint="eastAsia" w:ascii="宋体" w:hAnsi="宋体" w:eastAsia="宋体" w:cs="宋体"/>
          <w:color w:val="auto"/>
          <w:sz w:val="28"/>
          <w:szCs w:val="28"/>
          <w:highlight w:val="none"/>
        </w:rPr>
        <w:t>；</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pPr>
        <w:pageBreakBefore w:val="0"/>
        <w:kinsoku/>
        <w:overflowPunct/>
        <w:topLinePunct w:val="0"/>
        <w:bidi w:val="0"/>
        <w:jc w:val="center"/>
        <w:rPr>
          <w:rFonts w:hint="eastAsia" w:ascii="宋体" w:hAnsi="宋体" w:eastAsia="宋体" w:cs="宋体"/>
          <w:b/>
          <w:bCs/>
          <w:color w:val="auto"/>
          <w:sz w:val="24"/>
          <w:highlight w:val="none"/>
        </w:rPr>
      </w:pPr>
    </w:p>
    <w:p>
      <w:pPr>
        <w:pStyle w:val="47"/>
        <w:pageBreakBefore w:val="0"/>
        <w:kinsoku/>
        <w:overflowPunct/>
        <w:topLinePunct w:val="0"/>
        <w:bidi w:val="0"/>
        <w:rPr>
          <w:rFonts w:hint="eastAsia" w:ascii="宋体" w:hAnsi="宋体" w:eastAsia="宋体" w:cs="宋体"/>
          <w:color w:val="auto"/>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p>
    <w:p>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w:t>
      </w:r>
    </w:p>
    <w:p>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pPr>
        <w:pageBreakBefore w:val="0"/>
        <w:kinsoku/>
        <w:overflowPunct/>
        <w:topLinePunct w:val="0"/>
        <w:bidi w:val="0"/>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pPr>
        <w:pageBreakBefore w:val="0"/>
        <w:kinsoku/>
        <w:overflowPunct/>
        <w:topLinePunct w:val="0"/>
        <w:bidi w:val="0"/>
        <w:spacing w:line="360" w:lineRule="auto"/>
        <w:jc w:val="left"/>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p>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t>8、参选人情况一览表</w:t>
      </w:r>
      <w:bookmarkEnd w:id="54"/>
    </w:p>
    <w:p>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pPr>
              <w:pageBreakBefore w:val="0"/>
              <w:kinsoku/>
              <w:overflowPunct/>
              <w:topLinePunct w:val="0"/>
              <w:bidi w:val="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pPr>
              <w:pageBreakBefore w:val="0"/>
              <w:kinsoku/>
              <w:overflowPunct/>
              <w:topLinePunct w:val="0"/>
              <w:bidi w:val="0"/>
              <w:jc w:val="lef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p>
            <w:pPr>
              <w:pageBreakBefore w:val="0"/>
              <w:kinsoku/>
              <w:overflowPunct/>
              <w:topLinePunct w:val="0"/>
              <w:bidi w:val="0"/>
              <w:jc w:val="center"/>
              <w:rPr>
                <w:rFonts w:hint="eastAsia" w:ascii="宋体" w:hAnsi="宋体" w:eastAsia="宋体" w:cs="宋体"/>
                <w:color w:val="auto"/>
                <w:sz w:val="24"/>
                <w:highlight w:val="none"/>
              </w:rPr>
            </w:pPr>
          </w:p>
          <w:p>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pPr>
              <w:pageBreakBefore w:val="0"/>
              <w:kinsoku/>
              <w:overflowPunct/>
              <w:topLinePunct w:val="0"/>
              <w:bidi w:val="0"/>
              <w:jc w:val="center"/>
              <w:rPr>
                <w:rFonts w:hint="eastAsia" w:ascii="宋体" w:hAnsi="宋体" w:eastAsia="宋体" w:cs="宋体"/>
                <w:color w:val="auto"/>
                <w:sz w:val="24"/>
                <w:highlight w:val="none"/>
              </w:rPr>
            </w:pPr>
          </w:p>
        </w:tc>
      </w:tr>
    </w:tbl>
    <w:p>
      <w:pPr>
        <w:pageBreakBefore w:val="0"/>
        <w:kinsoku/>
        <w:overflowPunct/>
        <w:topLinePunct w:val="0"/>
        <w:bidi w:val="0"/>
        <w:rPr>
          <w:rFonts w:hint="eastAsia" w:ascii="宋体" w:hAnsi="宋体" w:eastAsia="宋体" w:cs="宋体"/>
          <w:color w:val="auto"/>
          <w:sz w:val="24"/>
          <w:highlight w:val="none"/>
        </w:rPr>
      </w:pPr>
    </w:p>
    <w:p>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pPr>
        <w:pageBreakBefore w:val="0"/>
        <w:kinsoku/>
        <w:overflowPunct/>
        <w:topLinePunct w:val="0"/>
        <w:bidi w:val="0"/>
        <w:spacing w:line="480" w:lineRule="auto"/>
        <w:jc w:val="righ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Style w:val="2"/>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pPr>
        <w:pStyle w:val="2"/>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Style w:val="2"/>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pPr>
        <w:pStyle w:val="2"/>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widowControl/>
        <w:kinsoku/>
        <w:overflowPunct/>
        <w:topLinePunct w:val="0"/>
        <w:bidi w:val="0"/>
        <w:jc w:val="left"/>
        <w:rPr>
          <w:rFonts w:hint="eastAsia" w:ascii="宋体" w:hAnsi="宋体" w:eastAsia="宋体" w:cs="宋体"/>
          <w:color w:val="auto"/>
          <w:sz w:val="24"/>
          <w:highlight w:val="none"/>
        </w:rPr>
      </w:pPr>
    </w:p>
    <w:p>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pPr>
        <w:pageBreakBefore w:val="0"/>
        <w:widowControl/>
        <w:kinsoku/>
        <w:overflowPunct/>
        <w:topLinePunct w:val="0"/>
        <w:bidi w:val="0"/>
        <w:jc w:val="left"/>
        <w:rPr>
          <w:rFonts w:hint="eastAsia" w:ascii="宋体" w:hAnsi="宋体" w:eastAsia="宋体" w:cs="宋体"/>
          <w:color w:val="auto"/>
          <w:sz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Style w:val="47"/>
        <w:pageBreakBefore w:val="0"/>
        <w:kinsoku/>
        <w:overflowPunct/>
        <w:topLinePunct w:val="0"/>
        <w:bidi w:val="0"/>
        <w:rPr>
          <w:rFonts w:hint="eastAsia" w:ascii="宋体" w:hAnsi="宋体" w:eastAsia="宋体" w:cs="宋体"/>
          <w:b/>
          <w:color w:val="auto"/>
          <w:sz w:val="24"/>
          <w:szCs w:val="24"/>
          <w:highlight w:val="none"/>
        </w:rPr>
      </w:pPr>
    </w:p>
    <w:p>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p>
    <w:p>
      <w:pPr>
        <w:pStyle w:val="16"/>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ageBreakBefore w:val="0"/>
        <w:kinsoku/>
        <w:overflowPunct/>
        <w:topLinePunct w:val="0"/>
        <w:bidi w:val="0"/>
        <w:spacing w:line="360" w:lineRule="auto"/>
        <w:jc w:val="center"/>
        <w:rPr>
          <w:rFonts w:hint="eastAsia" w:ascii="宋体" w:hAnsi="宋体" w:eastAsia="宋体" w:cs="宋体"/>
          <w:b/>
          <w:color w:val="auto"/>
          <w:sz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Style w:val="47"/>
        <w:pageBreakBefore w:val="0"/>
        <w:kinsoku/>
        <w:overflowPunct/>
        <w:topLinePunct w:val="0"/>
        <w:bidi w:val="0"/>
        <w:rPr>
          <w:rFonts w:hint="eastAsia" w:ascii="宋体" w:hAnsi="宋体" w:eastAsia="宋体" w:cs="宋体"/>
          <w:color w:val="auto"/>
          <w:sz w:val="24"/>
          <w:szCs w:val="24"/>
          <w:highlight w:val="none"/>
        </w:rPr>
      </w:pPr>
    </w:p>
    <w:p>
      <w:pPr>
        <w:pageBreakBefore w:val="0"/>
        <w:kinsoku/>
        <w:overflowPunct/>
        <w:topLinePunct w:val="0"/>
        <w:bidi w:val="0"/>
        <w:jc w:val="center"/>
        <w:rPr>
          <w:rFonts w:hint="eastAsia" w:ascii="宋体" w:hAnsi="宋体" w:eastAsia="宋体" w:cs="宋体"/>
          <w:b/>
          <w:color w:val="auto"/>
          <w:sz w:val="24"/>
          <w:highlight w:val="none"/>
        </w:rPr>
      </w:pPr>
    </w:p>
    <w:p>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25"/>
        <w:pageBreakBefore w:val="0"/>
        <w:kinsoku/>
        <w:overflowPunct/>
        <w:topLinePunct w:val="0"/>
        <w:bidi w:val="0"/>
        <w:rPr>
          <w:rFonts w:hint="eastAsia" w:ascii="宋体" w:hAnsi="宋体" w:eastAsia="宋体" w:cs="宋体"/>
          <w:b/>
          <w:bCs/>
          <w:color w:val="auto"/>
          <w:sz w:val="24"/>
          <w:szCs w:val="24"/>
          <w:highlight w:val="none"/>
        </w:rPr>
      </w:pP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pPr>
        <w:pStyle w:val="16"/>
        <w:pageBreakBefore w:val="0"/>
        <w:kinsoku/>
        <w:overflowPunct/>
        <w:topLinePunct w:val="0"/>
        <w:bidi w:val="0"/>
        <w:jc w:val="right"/>
        <w:rPr>
          <w:rFonts w:hint="eastAsia" w:ascii="宋体" w:hAnsi="宋体" w:eastAsia="宋体" w:cs="宋体"/>
          <w:color w:val="auto"/>
          <w:sz w:val="24"/>
          <w:highlight w:val="none"/>
        </w:rPr>
      </w:pPr>
    </w:p>
    <w:p>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pPr>
        <w:pStyle w:val="25"/>
        <w:pageBreakBefore w:val="0"/>
        <w:kinsoku/>
        <w:overflowPunct/>
        <w:topLinePunct w:val="0"/>
        <w:bidi w:val="0"/>
        <w:ind w:firstLine="0"/>
        <w:rPr>
          <w:rFonts w:hint="eastAsia" w:ascii="宋体" w:hAnsi="宋体" w:eastAsia="宋体" w:cs="宋体"/>
          <w:color w:val="auto"/>
          <w:sz w:val="24"/>
          <w:szCs w:val="24"/>
          <w:highlight w:val="none"/>
        </w:rPr>
      </w:pPr>
    </w:p>
    <w:p>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pPr>
        <w:pStyle w:val="7"/>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8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cLdu98BAAC/AwAADgAAAAAA&#10;AAABACAAAAAeAQAAZHJzL2Uyb0RvYy54bWxQSwUGAAAAAAYABgBZAQAAbwU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8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0I7PZ3gEAAL8DAAAOAAAAAAAA&#10;AAEAIAAAAB4BAABkcnMvZTJvRG9jLnhtbFBLBQYAAAAABgAGAFkBAABuBQAAAAA=&#10;">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4"/>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NWU1MWQ4M2U4MjkzY2NkMGFmMzZmYTJlNmRlZjY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24E7E34"/>
    <w:rsid w:val="026E4641"/>
    <w:rsid w:val="02A87086"/>
    <w:rsid w:val="03424C49"/>
    <w:rsid w:val="0344455C"/>
    <w:rsid w:val="03AB5A37"/>
    <w:rsid w:val="03D15ABC"/>
    <w:rsid w:val="03F87849"/>
    <w:rsid w:val="04C35E11"/>
    <w:rsid w:val="050722F0"/>
    <w:rsid w:val="054138E3"/>
    <w:rsid w:val="056E043F"/>
    <w:rsid w:val="05760640"/>
    <w:rsid w:val="057C5441"/>
    <w:rsid w:val="05812B41"/>
    <w:rsid w:val="05962755"/>
    <w:rsid w:val="05BB0CE0"/>
    <w:rsid w:val="05CA08A8"/>
    <w:rsid w:val="063F6C84"/>
    <w:rsid w:val="065D35AE"/>
    <w:rsid w:val="066F1ED1"/>
    <w:rsid w:val="06AC1E40"/>
    <w:rsid w:val="06AD5647"/>
    <w:rsid w:val="06BE6425"/>
    <w:rsid w:val="06BF609C"/>
    <w:rsid w:val="07064F2D"/>
    <w:rsid w:val="073A633E"/>
    <w:rsid w:val="074F1D9A"/>
    <w:rsid w:val="07634BF4"/>
    <w:rsid w:val="076C56D4"/>
    <w:rsid w:val="078A2E29"/>
    <w:rsid w:val="079E317F"/>
    <w:rsid w:val="07DC63DC"/>
    <w:rsid w:val="081D3768"/>
    <w:rsid w:val="08F14E86"/>
    <w:rsid w:val="08FD2D02"/>
    <w:rsid w:val="092A6F91"/>
    <w:rsid w:val="094840A2"/>
    <w:rsid w:val="09F91840"/>
    <w:rsid w:val="09FF67ED"/>
    <w:rsid w:val="0A685934"/>
    <w:rsid w:val="0AA75373"/>
    <w:rsid w:val="0AF73FD4"/>
    <w:rsid w:val="0B05031C"/>
    <w:rsid w:val="0B560A80"/>
    <w:rsid w:val="0BDE4F88"/>
    <w:rsid w:val="0BF2247E"/>
    <w:rsid w:val="0C3D67FB"/>
    <w:rsid w:val="0C403756"/>
    <w:rsid w:val="0C762CD4"/>
    <w:rsid w:val="0C86753C"/>
    <w:rsid w:val="0C8E2713"/>
    <w:rsid w:val="0CB96085"/>
    <w:rsid w:val="0CCC0884"/>
    <w:rsid w:val="0D073DD1"/>
    <w:rsid w:val="0D735465"/>
    <w:rsid w:val="0D8670BE"/>
    <w:rsid w:val="0D8D6983"/>
    <w:rsid w:val="0E0C3E24"/>
    <w:rsid w:val="0E5C3669"/>
    <w:rsid w:val="0E6869AA"/>
    <w:rsid w:val="0E6C0EED"/>
    <w:rsid w:val="0E9E6512"/>
    <w:rsid w:val="0EB2020F"/>
    <w:rsid w:val="0EB977F0"/>
    <w:rsid w:val="0ED34CF7"/>
    <w:rsid w:val="0EEC7BA6"/>
    <w:rsid w:val="0EFD4D2D"/>
    <w:rsid w:val="0F1F6CBB"/>
    <w:rsid w:val="0F6159A2"/>
    <w:rsid w:val="0FE61EC6"/>
    <w:rsid w:val="101F5E42"/>
    <w:rsid w:val="115C3E6F"/>
    <w:rsid w:val="11DA17B3"/>
    <w:rsid w:val="1223332E"/>
    <w:rsid w:val="12354787"/>
    <w:rsid w:val="12A05058"/>
    <w:rsid w:val="12BD1987"/>
    <w:rsid w:val="12D325AD"/>
    <w:rsid w:val="12E36974"/>
    <w:rsid w:val="13231533"/>
    <w:rsid w:val="132A7356"/>
    <w:rsid w:val="13571FB3"/>
    <w:rsid w:val="13B251F2"/>
    <w:rsid w:val="13C602CC"/>
    <w:rsid w:val="140E1361"/>
    <w:rsid w:val="14166EAE"/>
    <w:rsid w:val="142851FC"/>
    <w:rsid w:val="14860174"/>
    <w:rsid w:val="14CB3D60"/>
    <w:rsid w:val="14E56E23"/>
    <w:rsid w:val="14EE2519"/>
    <w:rsid w:val="14FC10BC"/>
    <w:rsid w:val="15745AC0"/>
    <w:rsid w:val="157502AF"/>
    <w:rsid w:val="158005E4"/>
    <w:rsid w:val="15AD693F"/>
    <w:rsid w:val="15AE7646"/>
    <w:rsid w:val="15CA1D79"/>
    <w:rsid w:val="15D527D2"/>
    <w:rsid w:val="16605DED"/>
    <w:rsid w:val="16610152"/>
    <w:rsid w:val="16B66298"/>
    <w:rsid w:val="16D21D27"/>
    <w:rsid w:val="170535D2"/>
    <w:rsid w:val="17167C82"/>
    <w:rsid w:val="172A4ACD"/>
    <w:rsid w:val="17326391"/>
    <w:rsid w:val="177A21B0"/>
    <w:rsid w:val="17D14880"/>
    <w:rsid w:val="17D46344"/>
    <w:rsid w:val="17E01949"/>
    <w:rsid w:val="17ED150C"/>
    <w:rsid w:val="185719DE"/>
    <w:rsid w:val="188B2F75"/>
    <w:rsid w:val="188B3FAB"/>
    <w:rsid w:val="18ED00D4"/>
    <w:rsid w:val="191948E9"/>
    <w:rsid w:val="192835A8"/>
    <w:rsid w:val="19670574"/>
    <w:rsid w:val="1A8A6543"/>
    <w:rsid w:val="1A9759C4"/>
    <w:rsid w:val="1AA17AB6"/>
    <w:rsid w:val="1AC67B91"/>
    <w:rsid w:val="1AFD5285"/>
    <w:rsid w:val="1B116526"/>
    <w:rsid w:val="1BCC0565"/>
    <w:rsid w:val="1C2D6F1E"/>
    <w:rsid w:val="1D0B4383"/>
    <w:rsid w:val="1D5A13F5"/>
    <w:rsid w:val="1D820805"/>
    <w:rsid w:val="1D9C7CD3"/>
    <w:rsid w:val="1DD90149"/>
    <w:rsid w:val="1E522E75"/>
    <w:rsid w:val="1E602499"/>
    <w:rsid w:val="1E6B3850"/>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C7D77"/>
    <w:rsid w:val="2284644F"/>
    <w:rsid w:val="229C6A49"/>
    <w:rsid w:val="22A114AB"/>
    <w:rsid w:val="2309061C"/>
    <w:rsid w:val="23221CEF"/>
    <w:rsid w:val="2349415A"/>
    <w:rsid w:val="23753417"/>
    <w:rsid w:val="23A176D2"/>
    <w:rsid w:val="23A2454D"/>
    <w:rsid w:val="24482643"/>
    <w:rsid w:val="24D008B2"/>
    <w:rsid w:val="251B66B7"/>
    <w:rsid w:val="252235A1"/>
    <w:rsid w:val="255D6CCF"/>
    <w:rsid w:val="256A5140"/>
    <w:rsid w:val="257D276E"/>
    <w:rsid w:val="25AB06FB"/>
    <w:rsid w:val="25AB17E9"/>
    <w:rsid w:val="25B5528E"/>
    <w:rsid w:val="25BD003C"/>
    <w:rsid w:val="25D915E7"/>
    <w:rsid w:val="25E1345C"/>
    <w:rsid w:val="25EC3819"/>
    <w:rsid w:val="260B429B"/>
    <w:rsid w:val="26155B33"/>
    <w:rsid w:val="26480D97"/>
    <w:rsid w:val="264B4300"/>
    <w:rsid w:val="26633E71"/>
    <w:rsid w:val="268902FF"/>
    <w:rsid w:val="26953CD5"/>
    <w:rsid w:val="275A6E86"/>
    <w:rsid w:val="277B343D"/>
    <w:rsid w:val="27C60E05"/>
    <w:rsid w:val="27F82CDF"/>
    <w:rsid w:val="281726D9"/>
    <w:rsid w:val="284535C9"/>
    <w:rsid w:val="28667D5D"/>
    <w:rsid w:val="28CE7FF3"/>
    <w:rsid w:val="290E5610"/>
    <w:rsid w:val="29647755"/>
    <w:rsid w:val="2979501E"/>
    <w:rsid w:val="2A020CD7"/>
    <w:rsid w:val="2A4047AF"/>
    <w:rsid w:val="2A443FBA"/>
    <w:rsid w:val="2A4508C5"/>
    <w:rsid w:val="2AD755F7"/>
    <w:rsid w:val="2AE73D3A"/>
    <w:rsid w:val="2B4A64A6"/>
    <w:rsid w:val="2BA07B5C"/>
    <w:rsid w:val="2BD41C66"/>
    <w:rsid w:val="2C0509E9"/>
    <w:rsid w:val="2C387018"/>
    <w:rsid w:val="2C444745"/>
    <w:rsid w:val="2C9D6CDB"/>
    <w:rsid w:val="2CC71DF2"/>
    <w:rsid w:val="2D1D71A5"/>
    <w:rsid w:val="2D4805D8"/>
    <w:rsid w:val="2D4C1195"/>
    <w:rsid w:val="2D866137"/>
    <w:rsid w:val="2DE23F54"/>
    <w:rsid w:val="2DF16F3B"/>
    <w:rsid w:val="2E66398B"/>
    <w:rsid w:val="2E7740E9"/>
    <w:rsid w:val="2E777886"/>
    <w:rsid w:val="2ECF2E25"/>
    <w:rsid w:val="2EF452FB"/>
    <w:rsid w:val="2F0B32F8"/>
    <w:rsid w:val="2F1A4FD5"/>
    <w:rsid w:val="2FA874B6"/>
    <w:rsid w:val="303171EB"/>
    <w:rsid w:val="303625F7"/>
    <w:rsid w:val="30406FD1"/>
    <w:rsid w:val="3046259A"/>
    <w:rsid w:val="305B44E3"/>
    <w:rsid w:val="3096519F"/>
    <w:rsid w:val="309704E6"/>
    <w:rsid w:val="30D53BBD"/>
    <w:rsid w:val="31217A55"/>
    <w:rsid w:val="313844C5"/>
    <w:rsid w:val="31803FF0"/>
    <w:rsid w:val="318319E3"/>
    <w:rsid w:val="31AC254D"/>
    <w:rsid w:val="31E92DC9"/>
    <w:rsid w:val="3230262D"/>
    <w:rsid w:val="327219E3"/>
    <w:rsid w:val="32822998"/>
    <w:rsid w:val="32A01E64"/>
    <w:rsid w:val="32AB77DD"/>
    <w:rsid w:val="32C52348"/>
    <w:rsid w:val="33373DB7"/>
    <w:rsid w:val="33861E21"/>
    <w:rsid w:val="338813BB"/>
    <w:rsid w:val="33C7324E"/>
    <w:rsid w:val="33F41078"/>
    <w:rsid w:val="33FE342B"/>
    <w:rsid w:val="340622E0"/>
    <w:rsid w:val="340802CA"/>
    <w:rsid w:val="34667B96"/>
    <w:rsid w:val="349210B6"/>
    <w:rsid w:val="34C122AF"/>
    <w:rsid w:val="34EF1477"/>
    <w:rsid w:val="3500579E"/>
    <w:rsid w:val="35246EC1"/>
    <w:rsid w:val="354E1F39"/>
    <w:rsid w:val="35505208"/>
    <w:rsid w:val="35516255"/>
    <w:rsid w:val="3555351F"/>
    <w:rsid w:val="35F26FC0"/>
    <w:rsid w:val="35F40F8A"/>
    <w:rsid w:val="35FE75F8"/>
    <w:rsid w:val="366B643D"/>
    <w:rsid w:val="3684230E"/>
    <w:rsid w:val="37407C3D"/>
    <w:rsid w:val="37931D11"/>
    <w:rsid w:val="37AB47ED"/>
    <w:rsid w:val="37C5058F"/>
    <w:rsid w:val="3834062E"/>
    <w:rsid w:val="383B1F9E"/>
    <w:rsid w:val="384A30E3"/>
    <w:rsid w:val="38D93765"/>
    <w:rsid w:val="392A3529"/>
    <w:rsid w:val="39856509"/>
    <w:rsid w:val="39966CA5"/>
    <w:rsid w:val="3A1669C2"/>
    <w:rsid w:val="3A34785C"/>
    <w:rsid w:val="3A4418D3"/>
    <w:rsid w:val="3A8C1EEB"/>
    <w:rsid w:val="3AE22A0F"/>
    <w:rsid w:val="3AFF346E"/>
    <w:rsid w:val="3B045A0A"/>
    <w:rsid w:val="3B6922D5"/>
    <w:rsid w:val="3BA507B1"/>
    <w:rsid w:val="3C035857"/>
    <w:rsid w:val="3C221C81"/>
    <w:rsid w:val="3CA01523"/>
    <w:rsid w:val="3CAB0364"/>
    <w:rsid w:val="3DB15F42"/>
    <w:rsid w:val="3DDA4089"/>
    <w:rsid w:val="3E151B31"/>
    <w:rsid w:val="3E2F57D6"/>
    <w:rsid w:val="3E8E2733"/>
    <w:rsid w:val="3EA92FC7"/>
    <w:rsid w:val="3EBA2645"/>
    <w:rsid w:val="3ECC05DE"/>
    <w:rsid w:val="3F024E9A"/>
    <w:rsid w:val="3F7A5F57"/>
    <w:rsid w:val="3FD9190E"/>
    <w:rsid w:val="40214084"/>
    <w:rsid w:val="40967D84"/>
    <w:rsid w:val="409A12D2"/>
    <w:rsid w:val="40F65292"/>
    <w:rsid w:val="41554B20"/>
    <w:rsid w:val="419B675D"/>
    <w:rsid w:val="41C44089"/>
    <w:rsid w:val="41D97952"/>
    <w:rsid w:val="423B508F"/>
    <w:rsid w:val="425744CF"/>
    <w:rsid w:val="42857177"/>
    <w:rsid w:val="42BA638F"/>
    <w:rsid w:val="431449CD"/>
    <w:rsid w:val="43364990"/>
    <w:rsid w:val="43735EF2"/>
    <w:rsid w:val="44384737"/>
    <w:rsid w:val="44E525C1"/>
    <w:rsid w:val="44F461CB"/>
    <w:rsid w:val="451B2DDC"/>
    <w:rsid w:val="45442C68"/>
    <w:rsid w:val="4563545A"/>
    <w:rsid w:val="45684BA8"/>
    <w:rsid w:val="45C70E4A"/>
    <w:rsid w:val="46267924"/>
    <w:rsid w:val="46717E46"/>
    <w:rsid w:val="46BA2FBB"/>
    <w:rsid w:val="46C2653A"/>
    <w:rsid w:val="46DE0DE1"/>
    <w:rsid w:val="47277DB0"/>
    <w:rsid w:val="47681F8B"/>
    <w:rsid w:val="47683DA1"/>
    <w:rsid w:val="477647C2"/>
    <w:rsid w:val="484F02A2"/>
    <w:rsid w:val="48694386"/>
    <w:rsid w:val="48917D88"/>
    <w:rsid w:val="48B82CB2"/>
    <w:rsid w:val="48D64D68"/>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F50A94"/>
    <w:rsid w:val="4C6550A3"/>
    <w:rsid w:val="4CAF130F"/>
    <w:rsid w:val="4CD121B7"/>
    <w:rsid w:val="4CD6481C"/>
    <w:rsid w:val="4D0B5434"/>
    <w:rsid w:val="4D4B0259"/>
    <w:rsid w:val="4D4B54DB"/>
    <w:rsid w:val="4D534466"/>
    <w:rsid w:val="4D650B7E"/>
    <w:rsid w:val="4D7273AC"/>
    <w:rsid w:val="4D796C37"/>
    <w:rsid w:val="4D986FCA"/>
    <w:rsid w:val="4DC17938"/>
    <w:rsid w:val="4E1554B5"/>
    <w:rsid w:val="4E2A3343"/>
    <w:rsid w:val="4E3A1DCD"/>
    <w:rsid w:val="4E8C1A1E"/>
    <w:rsid w:val="4EAA786E"/>
    <w:rsid w:val="4EB86DD0"/>
    <w:rsid w:val="4EC72940"/>
    <w:rsid w:val="4EDF2B2C"/>
    <w:rsid w:val="4EFC7675"/>
    <w:rsid w:val="4F0771E0"/>
    <w:rsid w:val="4F136DBB"/>
    <w:rsid w:val="4F3F2E1E"/>
    <w:rsid w:val="4F675ED1"/>
    <w:rsid w:val="4F894B2F"/>
    <w:rsid w:val="4F8A5691"/>
    <w:rsid w:val="4FAC7673"/>
    <w:rsid w:val="4FB42BA4"/>
    <w:rsid w:val="4FCC5976"/>
    <w:rsid w:val="4FD104D5"/>
    <w:rsid w:val="4FE92D8A"/>
    <w:rsid w:val="50234EE5"/>
    <w:rsid w:val="503D1867"/>
    <w:rsid w:val="504F3CFE"/>
    <w:rsid w:val="50E0518E"/>
    <w:rsid w:val="51120CF7"/>
    <w:rsid w:val="519C6593"/>
    <w:rsid w:val="51AD1A71"/>
    <w:rsid w:val="51C92E73"/>
    <w:rsid w:val="51DF25F2"/>
    <w:rsid w:val="51F823A1"/>
    <w:rsid w:val="52554335"/>
    <w:rsid w:val="525919E4"/>
    <w:rsid w:val="527D7680"/>
    <w:rsid w:val="52B9562D"/>
    <w:rsid w:val="52D05C9E"/>
    <w:rsid w:val="530B30F2"/>
    <w:rsid w:val="53154288"/>
    <w:rsid w:val="53273FEE"/>
    <w:rsid w:val="53286C00"/>
    <w:rsid w:val="53642F90"/>
    <w:rsid w:val="53986FA1"/>
    <w:rsid w:val="53B51901"/>
    <w:rsid w:val="53E954CE"/>
    <w:rsid w:val="53EF3E74"/>
    <w:rsid w:val="541E7A6B"/>
    <w:rsid w:val="542C0982"/>
    <w:rsid w:val="546C2DBB"/>
    <w:rsid w:val="547E38A6"/>
    <w:rsid w:val="54A90D1A"/>
    <w:rsid w:val="54C65448"/>
    <w:rsid w:val="55312A24"/>
    <w:rsid w:val="557B6877"/>
    <w:rsid w:val="55D66FAF"/>
    <w:rsid w:val="55E7771A"/>
    <w:rsid w:val="564577AB"/>
    <w:rsid w:val="56DA58DC"/>
    <w:rsid w:val="56F75715"/>
    <w:rsid w:val="56FA4DB3"/>
    <w:rsid w:val="575925A3"/>
    <w:rsid w:val="576F0018"/>
    <w:rsid w:val="57C971CB"/>
    <w:rsid w:val="57D4652D"/>
    <w:rsid w:val="57E74053"/>
    <w:rsid w:val="581E3DE2"/>
    <w:rsid w:val="58263B97"/>
    <w:rsid w:val="582901C7"/>
    <w:rsid w:val="58364D6D"/>
    <w:rsid w:val="58475B00"/>
    <w:rsid w:val="58981BE4"/>
    <w:rsid w:val="589F14D0"/>
    <w:rsid w:val="58B4208E"/>
    <w:rsid w:val="58E930DF"/>
    <w:rsid w:val="5972035B"/>
    <w:rsid w:val="598F49A2"/>
    <w:rsid w:val="59FF6B39"/>
    <w:rsid w:val="5A660D4E"/>
    <w:rsid w:val="5A817B0D"/>
    <w:rsid w:val="5A8262B5"/>
    <w:rsid w:val="5AA24261"/>
    <w:rsid w:val="5AAB323C"/>
    <w:rsid w:val="5B3809A4"/>
    <w:rsid w:val="5B661D3E"/>
    <w:rsid w:val="5C150452"/>
    <w:rsid w:val="5C1949F7"/>
    <w:rsid w:val="5C24022B"/>
    <w:rsid w:val="5C963A8A"/>
    <w:rsid w:val="5CE60BF5"/>
    <w:rsid w:val="5CFA64BB"/>
    <w:rsid w:val="5D4A3EFC"/>
    <w:rsid w:val="5D4A502D"/>
    <w:rsid w:val="5D4E769C"/>
    <w:rsid w:val="5DD54E8B"/>
    <w:rsid w:val="5DEB2B8A"/>
    <w:rsid w:val="5DF9473C"/>
    <w:rsid w:val="5E0043EB"/>
    <w:rsid w:val="5E6801F6"/>
    <w:rsid w:val="5E8D55E7"/>
    <w:rsid w:val="5EFC35C0"/>
    <w:rsid w:val="5F25283E"/>
    <w:rsid w:val="5F443548"/>
    <w:rsid w:val="5F4A2384"/>
    <w:rsid w:val="5FA32F55"/>
    <w:rsid w:val="5FE82E15"/>
    <w:rsid w:val="60197873"/>
    <w:rsid w:val="603658A5"/>
    <w:rsid w:val="607B3293"/>
    <w:rsid w:val="608C47AD"/>
    <w:rsid w:val="61072EB4"/>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C2CAC"/>
    <w:rsid w:val="64E20C7C"/>
    <w:rsid w:val="65190998"/>
    <w:rsid w:val="654815BA"/>
    <w:rsid w:val="655F4A2A"/>
    <w:rsid w:val="6581707A"/>
    <w:rsid w:val="66150F73"/>
    <w:rsid w:val="661E4002"/>
    <w:rsid w:val="663B3B08"/>
    <w:rsid w:val="66D962DF"/>
    <w:rsid w:val="673B1C5F"/>
    <w:rsid w:val="67BE4817"/>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B2356CB"/>
    <w:rsid w:val="6B4560F1"/>
    <w:rsid w:val="6BAD57CD"/>
    <w:rsid w:val="6BC7049F"/>
    <w:rsid w:val="6BD67D9C"/>
    <w:rsid w:val="6C0F3245"/>
    <w:rsid w:val="6C3E6C02"/>
    <w:rsid w:val="6C601B62"/>
    <w:rsid w:val="6C92548F"/>
    <w:rsid w:val="6C955D99"/>
    <w:rsid w:val="6CAE1BE4"/>
    <w:rsid w:val="6CDB3535"/>
    <w:rsid w:val="6CFC3CA5"/>
    <w:rsid w:val="6D535020"/>
    <w:rsid w:val="6D8048D6"/>
    <w:rsid w:val="6DB72303"/>
    <w:rsid w:val="6DCA78FF"/>
    <w:rsid w:val="6E241040"/>
    <w:rsid w:val="6E7A0843"/>
    <w:rsid w:val="6E932525"/>
    <w:rsid w:val="6EC4352D"/>
    <w:rsid w:val="6EE52005"/>
    <w:rsid w:val="6F6F4ADE"/>
    <w:rsid w:val="6F8B0BCB"/>
    <w:rsid w:val="6F996FEA"/>
    <w:rsid w:val="70404269"/>
    <w:rsid w:val="70781894"/>
    <w:rsid w:val="70EC6D02"/>
    <w:rsid w:val="70F51845"/>
    <w:rsid w:val="71310C75"/>
    <w:rsid w:val="714B41D5"/>
    <w:rsid w:val="71627FFF"/>
    <w:rsid w:val="71C063CB"/>
    <w:rsid w:val="71FD793A"/>
    <w:rsid w:val="722A3EB2"/>
    <w:rsid w:val="72600C41"/>
    <w:rsid w:val="72B24580"/>
    <w:rsid w:val="72EE397C"/>
    <w:rsid w:val="73141F2D"/>
    <w:rsid w:val="73264A06"/>
    <w:rsid w:val="73421A24"/>
    <w:rsid w:val="735D6FAF"/>
    <w:rsid w:val="73611E73"/>
    <w:rsid w:val="736C6F49"/>
    <w:rsid w:val="73B66634"/>
    <w:rsid w:val="73C741CC"/>
    <w:rsid w:val="745E633A"/>
    <w:rsid w:val="74746816"/>
    <w:rsid w:val="747E5726"/>
    <w:rsid w:val="74D06143"/>
    <w:rsid w:val="74ED4B84"/>
    <w:rsid w:val="75054A42"/>
    <w:rsid w:val="75E83E72"/>
    <w:rsid w:val="75FC0B1E"/>
    <w:rsid w:val="76011B48"/>
    <w:rsid w:val="761121A2"/>
    <w:rsid w:val="76386695"/>
    <w:rsid w:val="763A49C9"/>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87E85"/>
    <w:rsid w:val="77EE4EDB"/>
    <w:rsid w:val="77FF1415"/>
    <w:rsid w:val="780F4771"/>
    <w:rsid w:val="783E56FD"/>
    <w:rsid w:val="7840538D"/>
    <w:rsid w:val="78B51C47"/>
    <w:rsid w:val="790D34AE"/>
    <w:rsid w:val="79604890"/>
    <w:rsid w:val="79A24A66"/>
    <w:rsid w:val="7A005697"/>
    <w:rsid w:val="7A1F14FA"/>
    <w:rsid w:val="7A4D5B40"/>
    <w:rsid w:val="7A684F59"/>
    <w:rsid w:val="7A7418D6"/>
    <w:rsid w:val="7A871A03"/>
    <w:rsid w:val="7B9E513B"/>
    <w:rsid w:val="7BDB197F"/>
    <w:rsid w:val="7BF12528"/>
    <w:rsid w:val="7C064C5E"/>
    <w:rsid w:val="7C8762D5"/>
    <w:rsid w:val="7CA61FEA"/>
    <w:rsid w:val="7CCC5FA1"/>
    <w:rsid w:val="7CED1322"/>
    <w:rsid w:val="7CEF6848"/>
    <w:rsid w:val="7D074CD4"/>
    <w:rsid w:val="7D6255CE"/>
    <w:rsid w:val="7DD6409E"/>
    <w:rsid w:val="7E357016"/>
    <w:rsid w:val="7E66453C"/>
    <w:rsid w:val="7E732C57"/>
    <w:rsid w:val="7EC976D5"/>
    <w:rsid w:val="7F1E0EC5"/>
    <w:rsid w:val="7F593CC8"/>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5">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20"/>
      <w:szCs w:val="20"/>
    </w:rPr>
  </w:style>
  <w:style w:type="paragraph" w:styleId="7">
    <w:name w:val="Normal Indent"/>
    <w:basedOn w:val="1"/>
    <w:qFormat/>
    <w:uiPriority w:val="0"/>
    <w:pPr>
      <w:ind w:firstLine="420" w:firstLineChars="200"/>
    </w:pPr>
  </w:style>
  <w:style w:type="paragraph" w:styleId="8">
    <w:name w:val="toa heading"/>
    <w:basedOn w:val="1"/>
    <w:next w:val="1"/>
    <w:qFormat/>
    <w:uiPriority w:val="0"/>
    <w:pPr>
      <w:spacing w:before="120"/>
    </w:pPr>
    <w:rPr>
      <w:rFonts w:ascii="Cambria" w:hAnsi="Cambria" w:cs="Times New Roman"/>
      <w:sz w:val="24"/>
    </w:rPr>
  </w:style>
  <w:style w:type="paragraph" w:styleId="9">
    <w:name w:val="annotation text"/>
    <w:basedOn w:val="1"/>
    <w:qFormat/>
    <w:uiPriority w:val="99"/>
    <w:pPr>
      <w:jc w:val="left"/>
    </w:pPr>
    <w:rPr>
      <w:kern w:val="0"/>
    </w:rPr>
  </w:style>
  <w:style w:type="paragraph" w:styleId="10">
    <w:name w:val="Body Text"/>
    <w:basedOn w:val="1"/>
    <w:next w:val="11"/>
    <w:qFormat/>
    <w:uiPriority w:val="99"/>
    <w:pPr>
      <w:spacing w:after="120"/>
    </w:pPr>
    <w:rPr>
      <w:kern w:val="0"/>
    </w:rPr>
  </w:style>
  <w:style w:type="paragraph" w:styleId="1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12">
    <w:name w:val="Body Text Indent"/>
    <w:basedOn w:val="1"/>
    <w:next w:val="13"/>
    <w:qFormat/>
    <w:uiPriority w:val="0"/>
    <w:rPr>
      <w:kern w:val="0"/>
      <w:sz w:val="24"/>
    </w:rPr>
  </w:style>
  <w:style w:type="paragraph" w:styleId="13">
    <w:name w:val="envelope return"/>
    <w:basedOn w:val="1"/>
    <w:next w:val="6"/>
    <w:qFormat/>
    <w:uiPriority w:val="99"/>
    <w:pPr>
      <w:widowControl/>
    </w:pPr>
    <w:rPr>
      <w:rFonts w:ascii="Times New Roman" w:hAnsi="Times New Roman"/>
      <w:kern w:val="0"/>
      <w:sz w:val="22"/>
      <w:szCs w:val="20"/>
      <w:lang w:val="en-GB" w:eastAsia="en-US"/>
    </w:rPr>
  </w:style>
  <w:style w:type="paragraph" w:styleId="14">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5">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6">
    <w:name w:val="Plain Text"/>
    <w:basedOn w:val="1"/>
    <w:next w:val="1"/>
    <w:qFormat/>
    <w:uiPriority w:val="0"/>
    <w:rPr>
      <w:rFonts w:ascii="宋体" w:hAnsi="Courier New"/>
      <w:kern w:val="0"/>
      <w:sz w:val="20"/>
    </w:rPr>
  </w:style>
  <w:style w:type="paragraph" w:styleId="17">
    <w:name w:val="Body Text Indent 2"/>
    <w:basedOn w:val="1"/>
    <w:link w:val="44"/>
    <w:qFormat/>
    <w:uiPriority w:val="0"/>
    <w:pPr>
      <w:spacing w:after="120" w:line="480" w:lineRule="auto"/>
      <w:ind w:left="420" w:leftChars="200"/>
    </w:pPr>
  </w:style>
  <w:style w:type="paragraph" w:styleId="18">
    <w:name w:val="Balloon Text"/>
    <w:basedOn w:val="1"/>
    <w:link w:val="45"/>
    <w:qFormat/>
    <w:uiPriority w:val="0"/>
    <w:rPr>
      <w:sz w:val="18"/>
      <w:szCs w:val="18"/>
    </w:rPr>
  </w:style>
  <w:style w:type="paragraph" w:styleId="19">
    <w:name w:val="footer"/>
    <w:basedOn w:val="1"/>
    <w:link w:val="46"/>
    <w:unhideWhenUsed/>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2"/>
    <w:next w:val="1"/>
    <w:qFormat/>
    <w:uiPriority w:val="0"/>
    <w:rPr>
      <w:rFonts w:ascii="宋体"/>
      <w:sz w:val="44"/>
    </w:rPr>
  </w:style>
  <w:style w:type="paragraph" w:styleId="25">
    <w:name w:val="Body Text First Indent"/>
    <w:basedOn w:val="10"/>
    <w:next w:val="1"/>
    <w:qFormat/>
    <w:uiPriority w:val="99"/>
    <w:pPr>
      <w:ind w:firstLine="420"/>
    </w:pPr>
    <w:rPr>
      <w:szCs w:val="28"/>
    </w:rPr>
  </w:style>
  <w:style w:type="paragraph" w:styleId="26">
    <w:name w:val="Body Text First Indent 2"/>
    <w:basedOn w:val="12"/>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7"/>
    <w:qFormat/>
    <w:uiPriority w:val="0"/>
    <w:rPr>
      <w:kern w:val="2"/>
      <w:sz w:val="21"/>
      <w:szCs w:val="24"/>
    </w:rPr>
  </w:style>
  <w:style w:type="character" w:customStyle="1" w:styleId="45">
    <w:name w:val="批注框文本 Char"/>
    <w:basedOn w:val="29"/>
    <w:link w:val="18"/>
    <w:qFormat/>
    <w:uiPriority w:val="0"/>
    <w:rPr>
      <w:kern w:val="2"/>
      <w:sz w:val="18"/>
      <w:szCs w:val="18"/>
    </w:rPr>
  </w:style>
  <w:style w:type="character" w:customStyle="1" w:styleId="46">
    <w:name w:val="页脚 Char"/>
    <w:basedOn w:val="29"/>
    <w:link w:val="19"/>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 w:type="character" w:customStyle="1" w:styleId="79">
    <w:name w:val="font21"/>
    <w:basedOn w:val="2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37</Pages>
  <Words>11265</Words>
  <Characters>12045</Characters>
  <Lines>190</Lines>
  <Paragraphs>53</Paragraphs>
  <TotalTime>1</TotalTime>
  <ScaleCrop>false</ScaleCrop>
  <LinksUpToDate>false</LinksUpToDate>
  <CharactersWithSpaces>14024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2022-08-18T00:53:00Z</cp:lastPrinted>
  <dcterms:modified xsi:type="dcterms:W3CDTF">2023-09-20T03:29:12Z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B4CD7A3EB41249769C7859EA1B0DAA00_13</vt:lpwstr>
  </property>
</Properties>
</file>