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480" w:lineRule="auto"/>
        <w:ind w:left="2096" w:leftChars="284" w:hanging="1500" w:hangingChars="500"/>
        <w:rPr>
          <w:rFonts w:hint="eastAsia" w:ascii="宋体" w:hAnsi="宋体" w:eastAsia="宋体" w:cs="宋体"/>
          <w:color w:val="auto"/>
          <w:sz w:val="28"/>
          <w:szCs w:val="28"/>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欧罗巴地面停车场改造工程-主材采购</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JXFZ20230317</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2"/>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四</w:t>
      </w:r>
      <w:r>
        <w:rPr>
          <w:rFonts w:hint="eastAsia" w:ascii="宋体" w:hAnsi="宋体" w:eastAsia="宋体" w:cs="宋体"/>
          <w:b/>
          <w:color w:val="auto"/>
          <w:sz w:val="36"/>
          <w:highlight w:val="none"/>
        </w:rPr>
        <w:t>月</w:t>
      </w:r>
    </w:p>
    <w:p>
      <w:pPr>
        <w:pStyle w:val="8"/>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7"/>
        <w:pageBreakBefore w:val="0"/>
        <w:kinsoku/>
        <w:overflowPunct/>
        <w:topLinePunct w:val="0"/>
        <w:bidi w:val="0"/>
        <w:rPr>
          <w:rFonts w:hint="eastAsia" w:ascii="宋体" w:hAnsi="宋体" w:eastAsia="宋体" w:cs="宋体"/>
          <w:color w:val="auto"/>
          <w:highlight w:val="none"/>
        </w:rPr>
      </w:pP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30"/>
          <w:rFonts w:hint="eastAsia" w:ascii="宋体" w:hAnsi="宋体" w:eastAsia="宋体" w:cs="宋体"/>
          <w:b/>
          <w:color w:val="auto"/>
          <w:sz w:val="31"/>
          <w:szCs w:val="31"/>
          <w:highlight w:val="none"/>
        </w:rPr>
      </w:pPr>
      <w:bookmarkStart w:id="0" w:name="_Toc639"/>
      <w:r>
        <w:rPr>
          <w:rStyle w:val="30"/>
          <w:rFonts w:hint="eastAsia" w:ascii="宋体" w:hAnsi="宋体" w:eastAsia="宋体" w:cs="宋体"/>
          <w:b/>
          <w:color w:val="auto"/>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欧罗巴地面停车场改造工程-主材采购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JXFZ20230317</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JXFZ20230317</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欧罗巴地面停车场改造工程-主材采购</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584174.10 </w:t>
            </w:r>
            <w:r>
              <w:rPr>
                <w:rFonts w:hint="eastAsia" w:ascii="宋体" w:hAnsi="宋体" w:eastAsia="宋体" w:cs="宋体"/>
                <w:color w:val="auto"/>
                <w:kern w:val="0"/>
                <w:sz w:val="24"/>
                <w:highlight w:val="none"/>
                <w:lang w:val="en-US" w:eastAsia="zh-CN"/>
              </w:rPr>
              <w:t>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法定代表人证明资料）原件及被授权人（或法定代表人）身份证复印件；提供委托代理人在该单位标前三个月内任意一个月的社保凭证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有意向的参选人自行在南昌市红谷滩城市投资集团有限公司网站(网址：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)上下载比选文件。</w:t>
      </w:r>
    </w:p>
    <w:p>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pPr>
        <w:widowControl/>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rPr>
        <w:t>1、递交参选文件截止时间和比选时间为202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 xml:space="preserve">4 </w:t>
      </w:r>
      <w:r>
        <w:rPr>
          <w:rFonts w:hint="eastAsia" w:ascii="宋体" w:hAnsi="宋体" w:cs="宋体"/>
          <w:kern w:val="0"/>
          <w:sz w:val="24"/>
        </w:rPr>
        <w:t>月</w:t>
      </w:r>
      <w:r>
        <w:rPr>
          <w:rFonts w:hint="eastAsia" w:ascii="宋体" w:hAnsi="宋体" w:cs="宋体"/>
          <w:kern w:val="0"/>
          <w:sz w:val="24"/>
          <w:lang w:val="en-US" w:eastAsia="zh-CN"/>
        </w:rPr>
        <w:t xml:space="preserve">19  </w:t>
      </w:r>
      <w:r>
        <w:rPr>
          <w:rFonts w:hint="eastAsia" w:ascii="宋体" w:hAnsi="宋体" w:cs="宋体"/>
          <w:kern w:val="0"/>
          <w:sz w:val="24"/>
        </w:rPr>
        <w:t>日</w:t>
      </w:r>
      <w:r>
        <w:rPr>
          <w:rFonts w:hint="eastAsia" w:ascii="宋体" w:hAnsi="宋体" w:cs="宋体"/>
          <w:kern w:val="0"/>
          <w:sz w:val="24"/>
          <w:lang w:val="en-US" w:eastAsia="zh-CN"/>
        </w:rPr>
        <w:t>15:30</w:t>
      </w:r>
      <w:r>
        <w:rPr>
          <w:rFonts w:hint="eastAsia" w:ascii="宋体" w:hAnsi="宋体" w:cs="宋体"/>
          <w:kern w:val="0"/>
          <w:sz w:val="24"/>
        </w:rPr>
        <w:t>(北京时间)</w:t>
      </w:r>
      <w:r>
        <w:rPr>
          <w:rFonts w:hint="eastAsia" w:ascii="宋体" w:hAnsi="宋体" w:cs="宋体"/>
          <w:kern w:val="0"/>
          <w:sz w:val="24"/>
          <w:lang w:eastAsia="zh-CN"/>
        </w:rPr>
        <w:t>；</w:t>
      </w:r>
    </w:p>
    <w:p>
      <w:pPr>
        <w:widowControl/>
        <w:snapToGrid w:val="0"/>
        <w:spacing w:line="360" w:lineRule="auto"/>
        <w:jc w:val="left"/>
        <w:rPr>
          <w:rFonts w:hint="eastAsia" w:ascii="宋体" w:hAnsi="宋体"/>
          <w:color w:val="000000"/>
          <w:sz w:val="24"/>
        </w:rPr>
      </w:pPr>
      <w:r>
        <w:rPr>
          <w:rFonts w:hint="eastAsia" w:ascii="宋体" w:hAnsi="宋体" w:cs="宋体"/>
          <w:kern w:val="0"/>
          <w:sz w:val="24"/>
        </w:rPr>
        <w:t>2、比选地点：</w:t>
      </w:r>
      <w:r>
        <w:rPr>
          <w:rFonts w:hint="eastAsia" w:ascii="宋体" w:hAnsi="宋体" w:eastAsia="宋体" w:cs="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line="360" w:lineRule="auto"/>
        <w:jc w:val="left"/>
        <w:rPr>
          <w:rFonts w:hint="eastAsia" w:ascii="宋体" w:hAnsi="宋体" w:cs="宋体"/>
          <w:b/>
          <w:bCs/>
          <w:kern w:val="0"/>
          <w:sz w:val="24"/>
        </w:rPr>
      </w:pPr>
      <w:r>
        <w:rPr>
          <w:rFonts w:hint="eastAsia" w:ascii="宋体" w:hAnsi="宋体" w:eastAsia="宋体" w:cs="宋体"/>
          <w:b/>
          <w:bCs/>
          <w:kern w:val="0"/>
          <w:sz w:val="24"/>
          <w:szCs w:val="24"/>
          <w:lang w:val="en-US" w:eastAsia="zh-CN" w:bidi="ar-SA"/>
        </w:rPr>
        <w:t>六、</w:t>
      </w:r>
      <w:r>
        <w:rPr>
          <w:rFonts w:hint="eastAsia" w:ascii="宋体" w:hAnsi="宋体" w:cs="宋体"/>
          <w:b/>
          <w:bCs/>
          <w:kern w:val="0"/>
          <w:sz w:val="24"/>
        </w:rPr>
        <w:t>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2"/>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欧罗巴地面停车场改造工程-主材采购</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人民币叁仟伍佰柒拾捌元整（￥3578.00）</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2"/>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7175"/>
      <w:bookmarkStart w:id="3" w:name="_Toc377982317"/>
      <w:bookmarkStart w:id="4" w:name="_Toc324678925"/>
      <w:bookmarkStart w:id="5" w:name="_Toc31761"/>
      <w:bookmarkStart w:id="6" w:name="_Toc147282124"/>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w:t>
      </w:r>
      <w:r>
        <w:rPr>
          <w:rFonts w:hint="eastAsia" w:ascii="宋体" w:hAnsi="宋体" w:cs="宋体"/>
          <w:color w:val="auto"/>
          <w:sz w:val="24"/>
          <w:highlight w:val="none"/>
          <w:lang w:eastAsia="zh-CN"/>
        </w:rPr>
        <w:t>获取</w:t>
      </w:r>
      <w:r>
        <w:rPr>
          <w:rFonts w:hint="eastAsia" w:ascii="宋体" w:hAnsi="宋体" w:eastAsia="宋体" w:cs="宋体"/>
          <w:color w:val="auto"/>
          <w:sz w:val="24"/>
          <w:highlight w:val="none"/>
        </w:rPr>
        <w:t>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7"/>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 xml:space="preserve">584174.10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7"/>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7"/>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eastAsia="宋体" w:cs="宋体"/>
          <w:color w:val="auto"/>
          <w:sz w:val="24"/>
          <w:highlight w:val="none"/>
          <w:lang w:val="en-US" w:eastAsia="zh-CN"/>
        </w:rPr>
        <w:t>50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90"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分，任意一项不满足作无效响应处理。</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2、参选人在满足比选文件中售后服务要求的维修响应的基础上，参选人承诺接到招标人通知后十二小时内须做出响应，二十四小时内免费给予技术支持或到达现场维修排除故障得 2 分。 </w:t>
            </w:r>
          </w:p>
          <w:p>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pStyle w:val="26"/>
              <w:rPr>
                <w:rFonts w:hint="eastAsia" w:ascii="宋体" w:hAnsi="宋体" w:eastAsia="宋体" w:cs="宋体"/>
                <w:color w:val="auto"/>
                <w:highlight w:val="none"/>
              </w:rPr>
            </w:pPr>
          </w:p>
          <w:p>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jc w:val="center"/>
        </w:trPr>
        <w:tc>
          <w:tcPr>
            <w:tcW w:w="1194" w:type="dxa"/>
            <w:vMerge w:val="continue"/>
            <w:noWrap w:val="0"/>
            <w:vAlign w:val="top"/>
          </w:tcPr>
          <w:p>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针对本项目提供详细的实施方案包括但不限于1、质量保证方案，2、包装，3、运输，4、交货，5、售后服务，6、进度安排、7安全管理；安排配置科学合理，措施切实可行的每小项得 5 分；安排配置合理，措施可行的每小项得 3 分；安排配置基本合理，措施基本可行每小项得 1 分，不提供不得分；本项最高得 35 分。</w:t>
            </w:r>
          </w:p>
          <w:p>
            <w:pPr>
              <w:tabs>
                <w:tab w:val="left" w:pos="780"/>
              </w:tabs>
              <w:jc w:val="both"/>
              <w:rPr>
                <w:rFonts w:hint="eastAsia" w:ascii="宋体" w:hAnsi="宋体" w:eastAsia="宋体" w:cs="宋体"/>
                <w:b/>
                <w:color w:val="auto"/>
                <w:spacing w:val="-2"/>
                <w:sz w:val="24"/>
                <w:szCs w:val="24"/>
                <w:highlight w:val="none"/>
              </w:rPr>
            </w:pPr>
            <w:r>
              <w:rPr>
                <w:rFonts w:hint="eastAsia" w:ascii="宋体" w:hAnsi="宋体" w:eastAsia="宋体" w:cs="宋体"/>
                <w:b/>
                <w:bCs/>
                <w:color w:val="auto"/>
                <w:sz w:val="24"/>
                <w:szCs w:val="24"/>
                <w:highlight w:val="none"/>
                <w:lang w:val="en-US" w:eastAsia="zh-CN"/>
              </w:rPr>
              <w:t>评审依据：根据参选人的实施方案进行对比打分。</w:t>
            </w:r>
          </w:p>
        </w:tc>
      </w:tr>
    </w:tbl>
    <w:p>
      <w:pPr>
        <w:pStyle w:val="7"/>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986"/>
        <w:gridCol w:w="1756"/>
        <w:gridCol w:w="497"/>
        <w:gridCol w:w="1072"/>
        <w:gridCol w:w="1321"/>
        <w:gridCol w:w="641"/>
        <w:gridCol w:w="969"/>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税率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总价</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HRB400以内φ12～18</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kg</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28326.90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4.20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118972.98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芝麻灰花岗岩饰面</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200*200*30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88.82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8882.00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芝麻灰花岗岩饰面</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200*200*50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44.41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130.0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5773.30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芝麻灰花岗岩平石</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荔枝面600*300*50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243.97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19517.60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道路工程路缘石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芝麻白花岗岩侧石</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800*150*300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243.97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34155.80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道路工程路缘石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乳化沥青</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封层喷油量：1kg/m2</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粘层喷油量0.5kg/m2</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kg</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3391.77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2.5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8479.43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细粒式沥青砼（SBS改性）</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深灰色AC-13C</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90.51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1200.0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108612.00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粗粒式沥青砼</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AC-25C</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135.76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950.0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128972.00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无缝钢管车档</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L1500、D100*6</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71.00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175.0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12425.00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金属栏杆</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1.栏杆材质、规格:3厚50*50镀锌方通、2厚20*40镀锌扁通@130、3厚50*50镀锌方通立柱</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2.栏杆高度:1.3m</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3.含预埋铁件</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217.70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235.0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51159.50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道路工程栏杆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塑料管 </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UPVC DN200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69.65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94.0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6547.10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塑料管</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UPVC DN300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240.00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98.0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23520.00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给水管</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PPR DN100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245.51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125.0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30688.75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给水管</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PPR DN50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280.32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27.0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7568.64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庭院灯</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79"/>
                <w:lang w:val="en-US" w:eastAsia="zh-CN" w:bidi="ar"/>
              </w:rPr>
            </w:pPr>
            <w:r>
              <w:rPr>
                <w:rStyle w:val="79"/>
                <w:lang w:val="en-US" w:eastAsia="zh-CN" w:bidi="ar"/>
              </w:rPr>
              <w:t>LED灯220V，50W/IP65</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79"/>
                <w:lang w:val="en-US" w:eastAsia="zh-CN" w:bidi="ar"/>
              </w:rPr>
              <w:t>H=5-6m</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14.00 </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1350.0 </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18900.00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374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总价（元）：</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584174.10 </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备注：1、以上含税单价均包括运、装卸到场费用；</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2、招标数量为按设计图纸理论计量，结算按实调整；</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3、暂估价材料结算据实调整。</w:t>
            </w:r>
          </w:p>
        </w:tc>
      </w:tr>
    </w:tbl>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1733"/>
        <w:gridCol w:w="2574"/>
        <w:gridCol w:w="750"/>
        <w:gridCol w:w="1388"/>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钢筋</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HRB400以内φ12～18</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kg</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28326.90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芝麻灰花岗岩饰面</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200*200*30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88.82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芝麻灰花岗岩饰面</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200*200*50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m2</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44.41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道路工程挡墙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芝麻灰花岗岩平石</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荔枝面600*300*50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243.97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道路工程路缘石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芝麻白花岗岩侧石</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800*150*300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243.97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道路工程路缘石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乳化沥青</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封层喷油量：1kg/m2</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粘层喷油量0.5kg/m2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kg</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3391.77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细粒式沥青砼（SBS改性）</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深灰色AC-13C</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90.51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粗粒式沥青砼</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AC-25C</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135.76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道路工程沥青道路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无缝钢管车档</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L1500、D100*6</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71.00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金属栏杆</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1.栏杆材质、规格:3厚50*50镀锌方通、2厚20*40镀锌扁通@130、3厚50*50镀锌方通立柱</w:t>
            </w: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2.栏杆高度:1.3m</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3.含预埋铁件</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217.70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道路工程栏杆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塑料管 </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UPVC DN200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69.65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塑料管</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UPVC DN300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240.00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给水管</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PPR DN100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245.51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水电工程消防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给水管</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PPR DN50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280.32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水电工程给水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庭院灯</w:t>
            </w:r>
          </w:p>
        </w:tc>
        <w:tc>
          <w:tcPr>
            <w:tcW w:w="14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LED灯220V，50W/IP65</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H=5-6m</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14.00 </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水电工程照明</w:t>
            </w:r>
          </w:p>
        </w:tc>
      </w:tr>
    </w:tbl>
    <w:p>
      <w:pPr>
        <w:numPr>
          <w:ilvl w:val="0"/>
          <w:numId w:val="0"/>
        </w:numPr>
        <w:spacing w:line="360" w:lineRule="auto"/>
        <w:rPr>
          <w:rFonts w:hint="eastAsia" w:ascii="宋体" w:hAnsi="宋体" w:eastAsia="宋体" w:cs="宋体"/>
          <w:color w:val="auto"/>
          <w:sz w:val="32"/>
          <w:szCs w:val="32"/>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w:t>
      </w:r>
      <w:r>
        <w:rPr>
          <w:rFonts w:hint="eastAsia" w:ascii="宋体" w:hAnsi="宋体" w:eastAsia="宋体" w:cs="宋体"/>
          <w:b w:val="0"/>
          <w:bCs w:val="0"/>
          <w:color w:val="auto"/>
          <w:kern w:val="0"/>
          <w:sz w:val="28"/>
          <w:szCs w:val="28"/>
          <w:highlight w:val="none"/>
        </w:rPr>
        <w:t>交货地点：</w:t>
      </w:r>
      <w:r>
        <w:rPr>
          <w:rFonts w:hint="eastAsia" w:ascii="宋体" w:hAnsi="宋体" w:eastAsia="宋体" w:cs="宋体"/>
          <w:b w:val="0"/>
          <w:bCs w:val="0"/>
          <w:color w:val="auto"/>
          <w:kern w:val="0"/>
          <w:sz w:val="28"/>
          <w:szCs w:val="28"/>
          <w:highlight w:val="none"/>
          <w:lang w:eastAsia="zh-CN"/>
        </w:rPr>
        <w:t>招标人指定地点</w:t>
      </w:r>
    </w:p>
    <w:p>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交货期限</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按甲方要求分批次供应</w:t>
      </w:r>
    </w:p>
    <w:p>
      <w:pPr>
        <w:keepNext w:val="0"/>
        <w:keepLines w:val="0"/>
        <w:widowControl/>
        <w:suppressLineNumbers w:val="0"/>
        <w:jc w:val="left"/>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3、售后服务：</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（1）自货物验收合格之日起，中标单位对所供货物提供24个月的质保期，因货物质量原因导致修理或更换部分的质保期从完工验收合格之日起计算。</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pPr>
        <w:keepNext w:val="0"/>
        <w:keepLines w:val="0"/>
        <w:widowControl/>
        <w:suppressLineNumbers w:val="0"/>
        <w:ind w:firstLine="560" w:firstLineChars="20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lang w:val="en-US" w:eastAsia="zh-CN" w:bidi="ar"/>
        </w:rPr>
        <w:t>（4）质保期后，中标单位向招标人提供终身维修及服务，其费用按不高于材料成本价和历次服务费的标准执行，否则招标人有权按自己核定的价格向中标单位付款。</w:t>
      </w:r>
    </w:p>
    <w:p>
      <w:pPr>
        <w:keepNext w:val="0"/>
        <w:keepLines w:val="0"/>
        <w:widowControl/>
        <w:suppressLineNumbers w:val="0"/>
        <w:ind w:firstLine="560" w:firstLineChars="200"/>
        <w:jc w:val="left"/>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w:t>
      </w:r>
    </w:p>
    <w:p>
      <w:pPr>
        <w:pStyle w:val="10"/>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4、结算方式及期</w:t>
      </w:r>
    </w:p>
    <w:p>
      <w:pPr>
        <w:pStyle w:val="10"/>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4.1结算依据：以甲、乙方双方确认的验收单为依据，单价按双方签订合同约定的价格结算。</w:t>
      </w:r>
    </w:p>
    <w:p>
      <w:pPr>
        <w:pStyle w:val="10"/>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4.2供货和付款方式：</w:t>
      </w:r>
    </w:p>
    <w:p>
      <w:pPr>
        <w:pStyle w:val="10"/>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4.2.1甲、乙双方每月5日核对上月1-30日供货情况，并编制对账单，双方签字无误后供方于3个工作日内乙方开具增值税专用发票，甲方收到发票后于7个工作日内支付验收货款的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b w:val="0"/>
          <w:bCs w:val="0"/>
          <w:color w:val="auto"/>
          <w:kern w:val="0"/>
          <w:sz w:val="28"/>
          <w:szCs w:val="28"/>
          <w:highlight w:val="none"/>
          <w:lang w:val="en-US" w:eastAsia="zh-CN" w:bidi="ar"/>
        </w:rPr>
        <w:t>8</w:t>
      </w:r>
      <w:r>
        <w:rPr>
          <w:rFonts w:hint="eastAsia" w:ascii="宋体" w:hAnsi="宋体" w:eastAsia="宋体" w:cs="宋体"/>
          <w:b w:val="0"/>
          <w:bCs w:val="0"/>
          <w:color w:val="auto"/>
          <w:kern w:val="0"/>
          <w:sz w:val="28"/>
          <w:szCs w:val="28"/>
          <w:highlight w:val="none"/>
          <w:lang w:val="en-US" w:eastAsia="zh-CN" w:bidi="ar"/>
        </w:rPr>
        <w:t>0%。</w:t>
      </w:r>
    </w:p>
    <w:p>
      <w:pPr>
        <w:pStyle w:val="10"/>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8"/>
          <w:szCs w:val="28"/>
          <w:highlight w:val="none"/>
          <w:lang w:val="en-US" w:eastAsia="zh-CN" w:bidi="ar"/>
        </w:rPr>
        <w:t>4.2.2工程竣工双方验收合格，并办理结算审计后，乙方开具13%税点增值税专用发票后15个工作日内，甲方向乙方支付至验收材料款的100%。</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bookmarkStart w:id="58" w:name="_GoBack"/>
      <w:bookmarkEnd w:id="58"/>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6"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6"/>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7"/>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23199452"/>
      <w:bookmarkStart w:id="46" w:name="_Toc344409075"/>
      <w:bookmarkStart w:id="47" w:name="_Toc346096038"/>
      <w:bookmarkStart w:id="48" w:name="_Toc344409279"/>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未响应要约价的，将被视为不响应招标文件的实质性要求，作无效标处理。</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分项报价表由招标人提供的招标要约价组成，参选人须附《招标要约价》所有内容。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9"/>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pPr>
        <w:pStyle w:val="10"/>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pageBreakBefore w:val="0"/>
        <w:kinsoku/>
        <w:overflowPunct/>
        <w:topLinePunct w:val="0"/>
        <w:bidi w:val="0"/>
        <w:outlineLvl w:val="9"/>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pPr>
        <w:pStyle w:val="10"/>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在该单位开标前三个月内任意一个月的社保凭证）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2"/>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提供开标前三个月内任意一个月的社保缴纳证明和缴纳税收证明复印件加盖公章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7"/>
        <w:pageBreakBefore w:val="0"/>
        <w:kinsoku/>
        <w:overflowPunct/>
        <w:topLinePunct w:val="0"/>
        <w:bidi w:val="0"/>
        <w:rPr>
          <w:rFonts w:hint="eastAsia" w:ascii="宋体" w:hAnsi="宋体" w:eastAsia="宋体" w:cs="宋体"/>
          <w:color w:val="auto"/>
          <w:sz w:val="24"/>
          <w:szCs w:val="24"/>
          <w:highlight w:val="none"/>
          <w:lang w:val="en-GB"/>
        </w:rPr>
      </w:pPr>
    </w:p>
    <w:p>
      <w:pPr>
        <w:pStyle w:val="10"/>
        <w:rPr>
          <w:rFonts w:hint="eastAsia" w:ascii="宋体" w:hAnsi="宋体" w:eastAsia="宋体" w:cs="宋体"/>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三个月内任意一个月</w:t>
      </w:r>
      <w:r>
        <w:rPr>
          <w:rFonts w:hint="eastAsia" w:ascii="宋体" w:hAnsi="宋体" w:eastAsia="宋体" w:cs="宋体"/>
          <w:b/>
          <w:bCs/>
          <w:color w:val="auto"/>
          <w:sz w:val="28"/>
          <w:szCs w:val="28"/>
          <w:highlight w:val="none"/>
        </w:rPr>
        <w:t>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t>8、参选人情况一览表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2"/>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2"/>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2"/>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2"/>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p>
    <w:p>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pPr>
        <w:pStyle w:val="25"/>
        <w:pageBreakBefore w:val="0"/>
        <w:kinsoku/>
        <w:overflowPunct/>
        <w:topLinePunct w:val="0"/>
        <w:bidi w:val="0"/>
        <w:ind w:firstLine="0"/>
        <w:rPr>
          <w:rFonts w:hint="eastAsia" w:ascii="宋体" w:hAnsi="宋体" w:eastAsia="宋体" w:cs="宋体"/>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24C49"/>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4F1D9A"/>
    <w:rsid w:val="076C56D4"/>
    <w:rsid w:val="078A2E29"/>
    <w:rsid w:val="079E317F"/>
    <w:rsid w:val="07DC63DC"/>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762CD4"/>
    <w:rsid w:val="0C86753C"/>
    <w:rsid w:val="0C8E2713"/>
    <w:rsid w:val="0CB96085"/>
    <w:rsid w:val="0CCC0884"/>
    <w:rsid w:val="0D073DD1"/>
    <w:rsid w:val="0D735465"/>
    <w:rsid w:val="0D8670BE"/>
    <w:rsid w:val="0D8D6983"/>
    <w:rsid w:val="0E0C3E24"/>
    <w:rsid w:val="0E5C3669"/>
    <w:rsid w:val="0E6869AA"/>
    <w:rsid w:val="0E6C0EED"/>
    <w:rsid w:val="0E9E6512"/>
    <w:rsid w:val="0EB2020F"/>
    <w:rsid w:val="0EB977F0"/>
    <w:rsid w:val="0ED34CF7"/>
    <w:rsid w:val="0EEC7BA6"/>
    <w:rsid w:val="0EFD4D2D"/>
    <w:rsid w:val="0F1F6CBB"/>
    <w:rsid w:val="0F6159A2"/>
    <w:rsid w:val="0FE61EC6"/>
    <w:rsid w:val="101F5E42"/>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92835A8"/>
    <w:rsid w:val="19670574"/>
    <w:rsid w:val="1A8A6543"/>
    <w:rsid w:val="1A9759C4"/>
    <w:rsid w:val="1AA17AB6"/>
    <w:rsid w:val="1AC67B91"/>
    <w:rsid w:val="1AFD5285"/>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C7D77"/>
    <w:rsid w:val="2284644F"/>
    <w:rsid w:val="229C6A49"/>
    <w:rsid w:val="22A114AB"/>
    <w:rsid w:val="2309061C"/>
    <w:rsid w:val="23221CEF"/>
    <w:rsid w:val="2349415A"/>
    <w:rsid w:val="23753417"/>
    <w:rsid w:val="23A176D2"/>
    <w:rsid w:val="23A2454D"/>
    <w:rsid w:val="24482643"/>
    <w:rsid w:val="24D008B2"/>
    <w:rsid w:val="251B66B7"/>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D1D71A5"/>
    <w:rsid w:val="2D4805D8"/>
    <w:rsid w:val="2D4C1195"/>
    <w:rsid w:val="2D866137"/>
    <w:rsid w:val="2DE23F54"/>
    <w:rsid w:val="2DF16F3B"/>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373DB7"/>
    <w:rsid w:val="33861E21"/>
    <w:rsid w:val="338813BB"/>
    <w:rsid w:val="33C7324E"/>
    <w:rsid w:val="33F41078"/>
    <w:rsid w:val="33FE342B"/>
    <w:rsid w:val="340622E0"/>
    <w:rsid w:val="340802CA"/>
    <w:rsid w:val="3411733D"/>
    <w:rsid w:val="34667B96"/>
    <w:rsid w:val="349210B6"/>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735EF2"/>
    <w:rsid w:val="44384737"/>
    <w:rsid w:val="44E525C1"/>
    <w:rsid w:val="44F461CB"/>
    <w:rsid w:val="451B2DDC"/>
    <w:rsid w:val="45442C68"/>
    <w:rsid w:val="4563545A"/>
    <w:rsid w:val="45684BA8"/>
    <w:rsid w:val="45C70E4A"/>
    <w:rsid w:val="46267924"/>
    <w:rsid w:val="46717E46"/>
    <w:rsid w:val="46BA2FBB"/>
    <w:rsid w:val="46C2653A"/>
    <w:rsid w:val="46DE0DE1"/>
    <w:rsid w:val="47277DB0"/>
    <w:rsid w:val="47681F8B"/>
    <w:rsid w:val="47683DA1"/>
    <w:rsid w:val="477647C2"/>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822C8D"/>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E7771A"/>
    <w:rsid w:val="564577AB"/>
    <w:rsid w:val="56CA6F02"/>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150452"/>
    <w:rsid w:val="5C1949F7"/>
    <w:rsid w:val="5C24022B"/>
    <w:rsid w:val="5C963A8A"/>
    <w:rsid w:val="5CE60BF5"/>
    <w:rsid w:val="5CFA64BB"/>
    <w:rsid w:val="5D4A3EFC"/>
    <w:rsid w:val="5D4A502D"/>
    <w:rsid w:val="5D4E769C"/>
    <w:rsid w:val="5DD54E8B"/>
    <w:rsid w:val="5DEB2B8A"/>
    <w:rsid w:val="5DF9473C"/>
    <w:rsid w:val="5E0043EB"/>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3B3B08"/>
    <w:rsid w:val="66D962DF"/>
    <w:rsid w:val="673B1C5F"/>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0D7FDD"/>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CC5FA1"/>
    <w:rsid w:val="7CED1322"/>
    <w:rsid w:val="7CEF6848"/>
    <w:rsid w:val="7D074CD4"/>
    <w:rsid w:val="7D6255CE"/>
    <w:rsid w:val="7DD6409E"/>
    <w:rsid w:val="7E357016"/>
    <w:rsid w:val="7E66453C"/>
    <w:rsid w:val="7E732C57"/>
    <w:rsid w:val="7EC976D5"/>
    <w:rsid w:val="7F1E0EC5"/>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20"/>
      <w:szCs w:val="2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w:basedOn w:val="1"/>
    <w:next w:val="11"/>
    <w:qFormat/>
    <w:uiPriority w:val="99"/>
    <w:pPr>
      <w:spacing w:after="120"/>
    </w:pPr>
    <w:rPr>
      <w:kern w:val="0"/>
    </w:rPr>
  </w:style>
  <w:style w:type="paragraph" w:styleId="1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2">
    <w:name w:val="Body Text Indent"/>
    <w:basedOn w:val="1"/>
    <w:next w:val="13"/>
    <w:qFormat/>
    <w:uiPriority w:val="0"/>
    <w:rPr>
      <w:kern w:val="0"/>
      <w:sz w:val="24"/>
    </w:rPr>
  </w:style>
  <w:style w:type="paragraph" w:styleId="13">
    <w:name w:val="envelope return"/>
    <w:basedOn w:val="1"/>
    <w:next w:val="6"/>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2"/>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2"/>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7"/>
    <w:qFormat/>
    <w:uiPriority w:val="0"/>
    <w:rPr>
      <w:kern w:val="2"/>
      <w:sz w:val="21"/>
      <w:szCs w:val="24"/>
    </w:rPr>
  </w:style>
  <w:style w:type="character" w:customStyle="1" w:styleId="45">
    <w:name w:val="批注框文本 Char"/>
    <w:basedOn w:val="29"/>
    <w:link w:val="18"/>
    <w:qFormat/>
    <w:uiPriority w:val="0"/>
    <w:rPr>
      <w:kern w:val="2"/>
      <w:sz w:val="18"/>
      <w:szCs w:val="18"/>
    </w:rPr>
  </w:style>
  <w:style w:type="character" w:customStyle="1" w:styleId="46">
    <w:name w:val="页脚 Char"/>
    <w:basedOn w:val="29"/>
    <w:link w:val="19"/>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 w:type="character" w:customStyle="1" w:styleId="79">
    <w:name w:val="font21"/>
    <w:basedOn w:val="2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41</Pages>
  <Words>12206</Words>
  <Characters>13528</Characters>
  <Lines>190</Lines>
  <Paragraphs>53</Paragraphs>
  <TotalTime>3</TotalTime>
  <ScaleCrop>false</ScaleCrop>
  <LinksUpToDate>false</LinksUpToDate>
  <CharactersWithSpaces>15572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2023-09-20T03:28:53Z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56C9FF9C17F5402EA3BF738F4A043F96_13</vt:lpwstr>
  </property>
</Properties>
</file>